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57BB" w:rsidRPr="00B257BB" w:rsidRDefault="00B257BB" w:rsidP="00B257BB">
      <w:pPr>
        <w:spacing w:after="91" w:line="259" w:lineRule="auto"/>
        <w:jc w:val="center"/>
        <w:rPr>
          <w:b/>
          <w:color w:val="E36C0A" w:themeColor="accent6" w:themeShade="BF"/>
          <w:sz w:val="24"/>
        </w:rPr>
      </w:pPr>
      <w:r w:rsidRPr="00B257BB">
        <w:rPr>
          <w:b/>
          <w:color w:val="E36C0A" w:themeColor="accent6" w:themeShade="BF"/>
          <w:sz w:val="24"/>
        </w:rPr>
        <w:t>Expediente S-06356-2023</w:t>
      </w:r>
    </w:p>
    <w:p w:rsidR="00B257BB" w:rsidRPr="00B257BB" w:rsidRDefault="00B257BB" w:rsidP="00B257BB">
      <w:pPr>
        <w:spacing w:after="91" w:line="259" w:lineRule="auto"/>
        <w:jc w:val="center"/>
        <w:rPr>
          <w:color w:val="E36C0A" w:themeColor="accent6" w:themeShade="BF"/>
          <w:sz w:val="24"/>
        </w:rPr>
      </w:pPr>
      <w:r w:rsidRPr="00B257BB">
        <w:rPr>
          <w:b/>
          <w:color w:val="E36C0A" w:themeColor="accent6" w:themeShade="BF"/>
          <w:sz w:val="24"/>
        </w:rPr>
        <w:t>Servicio de limpieza e higienización CRTVE en Andalucía, Canarias y Murcia</w:t>
      </w:r>
    </w:p>
    <w:p w:rsidR="00B257BB" w:rsidRPr="00B257BB" w:rsidRDefault="00B257BB" w:rsidP="00B257BB">
      <w:pPr>
        <w:spacing w:after="95" w:line="259" w:lineRule="auto"/>
        <w:ind w:left="37" w:right="38"/>
        <w:jc w:val="center"/>
        <w:rPr>
          <w:sz w:val="28"/>
        </w:rPr>
      </w:pPr>
      <w:r w:rsidRPr="00B257BB">
        <w:rPr>
          <w:b/>
          <w:sz w:val="28"/>
        </w:rPr>
        <w:t xml:space="preserve">MEMORIA JUSTIFICATIVA </w:t>
      </w:r>
    </w:p>
    <w:p w:rsidR="00B257BB" w:rsidRDefault="00B257BB" w:rsidP="00B257BB">
      <w:pPr>
        <w:pStyle w:val="Ttulo1"/>
        <w:tabs>
          <w:tab w:val="left" w:pos="6578"/>
        </w:tabs>
        <w:spacing w:after="264"/>
        <w:ind w:left="9"/>
      </w:pPr>
      <w:r>
        <w:tab/>
      </w:r>
      <w:r>
        <w:tab/>
      </w:r>
    </w:p>
    <w:p w:rsidR="00B257BB" w:rsidRDefault="00B257BB" w:rsidP="00B257BB">
      <w:pPr>
        <w:pStyle w:val="Ttulo1"/>
        <w:spacing w:after="264"/>
        <w:ind w:left="9"/>
      </w:pPr>
      <w:r>
        <w:t xml:space="preserve">JUSTIFICACIÓN DE LA NECESIDAD </w:t>
      </w:r>
    </w:p>
    <w:p w:rsidR="00B257BB" w:rsidRDefault="00B257BB" w:rsidP="00B257BB">
      <w:r>
        <w:t xml:space="preserve">Para mantener un correcto estado de limpieza e higiene de dichos edificios CRTVE tiene contratado el servicio de limpieza de acuerdo a </w:t>
      </w:r>
      <w:r w:rsidRPr="0056691E">
        <w:t>los requerimientos del expediente en vigor S-00810-2021</w:t>
      </w:r>
      <w:r>
        <w:t xml:space="preserve"> </w:t>
      </w:r>
      <w:r w:rsidRPr="0056691E">
        <w:t xml:space="preserve">cuya adjudicación fue realizada en función de </w:t>
      </w:r>
      <w:r>
        <w:t>comunidades autónomas y que finaliza el 31.12.2023.</w:t>
      </w:r>
    </w:p>
    <w:p w:rsidR="00B257BB" w:rsidRDefault="00B257BB" w:rsidP="00B257BB">
      <w:r w:rsidRPr="00284CA1">
        <w:t xml:space="preserve">En abril del 2023 se procedió a licitar </w:t>
      </w:r>
      <w:r>
        <w:t xml:space="preserve">el servicio </w:t>
      </w:r>
      <w:r w:rsidRPr="00284CA1">
        <w:t xml:space="preserve">de limpieza e higienización en los </w:t>
      </w:r>
      <w:r>
        <w:t>c</w:t>
      </w:r>
      <w:r w:rsidRPr="00284CA1">
        <w:t xml:space="preserve">entros de CRTVE por </w:t>
      </w:r>
      <w:r>
        <w:t xml:space="preserve">el </w:t>
      </w:r>
      <w:r w:rsidRPr="00284CA1">
        <w:t xml:space="preserve">procedimiento </w:t>
      </w:r>
      <w:r>
        <w:t>abierto general</w:t>
      </w:r>
      <w:r w:rsidRPr="00284CA1">
        <w:t xml:space="preserve"> a través del expediente S-02369-2023 en </w:t>
      </w:r>
      <w:r>
        <w:t>17</w:t>
      </w:r>
      <w:r w:rsidRPr="00284CA1">
        <w:t xml:space="preserve"> lotes</w:t>
      </w:r>
      <w:r>
        <w:t xml:space="preserve"> </w:t>
      </w:r>
      <w:r w:rsidRPr="00284CA1">
        <w:t xml:space="preserve">para dar continuidad al </w:t>
      </w:r>
      <w:r>
        <w:t xml:space="preserve">servicio de limpieza que </w:t>
      </w:r>
      <w:r w:rsidRPr="00284CA1">
        <w:t xml:space="preserve">finalizará el próximo </w:t>
      </w:r>
      <w:r>
        <w:t>31 de diciembre de 2023.</w:t>
      </w:r>
      <w:r w:rsidRPr="00284CA1">
        <w:t xml:space="preserve"> </w:t>
      </w:r>
    </w:p>
    <w:p w:rsidR="00B257BB" w:rsidRDefault="00B257BB" w:rsidP="00B257BB">
      <w:pPr>
        <w:numPr>
          <w:ilvl w:val="0"/>
          <w:numId w:val="4"/>
        </w:numPr>
        <w:spacing w:after="23" w:line="268" w:lineRule="auto"/>
        <w:ind w:right="33" w:hanging="360"/>
        <w:jc w:val="both"/>
      </w:pPr>
      <w:r>
        <w:t xml:space="preserve">Lote 1 Andalucía, Ceuta y Melilla </w:t>
      </w:r>
    </w:p>
    <w:p w:rsidR="00B257BB" w:rsidRDefault="00B257BB" w:rsidP="00B257BB">
      <w:pPr>
        <w:numPr>
          <w:ilvl w:val="0"/>
          <w:numId w:val="4"/>
        </w:numPr>
        <w:spacing w:after="23" w:line="268" w:lineRule="auto"/>
        <w:ind w:right="33" w:hanging="360"/>
        <w:jc w:val="both"/>
      </w:pPr>
      <w:r>
        <w:t xml:space="preserve">Lote 2 Aragón </w:t>
      </w:r>
    </w:p>
    <w:p w:rsidR="00B257BB" w:rsidRDefault="00B257BB" w:rsidP="00B257BB">
      <w:pPr>
        <w:numPr>
          <w:ilvl w:val="0"/>
          <w:numId w:val="4"/>
        </w:numPr>
        <w:spacing w:after="23" w:line="268" w:lineRule="auto"/>
        <w:ind w:right="33" w:hanging="360"/>
        <w:jc w:val="both"/>
      </w:pPr>
      <w:r>
        <w:t xml:space="preserve">Lote 3 Asturias </w:t>
      </w:r>
    </w:p>
    <w:p w:rsidR="00B257BB" w:rsidRDefault="00B257BB" w:rsidP="00B257BB">
      <w:pPr>
        <w:numPr>
          <w:ilvl w:val="0"/>
          <w:numId w:val="4"/>
        </w:numPr>
        <w:spacing w:after="23" w:line="268" w:lineRule="auto"/>
        <w:ind w:right="33" w:hanging="360"/>
        <w:jc w:val="both"/>
      </w:pPr>
      <w:r>
        <w:t xml:space="preserve">Lote 4 Baleares </w:t>
      </w:r>
    </w:p>
    <w:p w:rsidR="00B257BB" w:rsidRDefault="00B257BB" w:rsidP="00B257BB">
      <w:pPr>
        <w:numPr>
          <w:ilvl w:val="0"/>
          <w:numId w:val="4"/>
        </w:numPr>
        <w:spacing w:after="23" w:line="268" w:lineRule="auto"/>
        <w:ind w:right="33" w:hanging="360"/>
        <w:jc w:val="both"/>
      </w:pPr>
      <w:r>
        <w:t xml:space="preserve">Lote 5 Canarias </w:t>
      </w:r>
    </w:p>
    <w:p w:rsidR="00B257BB" w:rsidRDefault="00B257BB" w:rsidP="00B257BB">
      <w:pPr>
        <w:numPr>
          <w:ilvl w:val="0"/>
          <w:numId w:val="4"/>
        </w:numPr>
        <w:spacing w:after="23" w:line="268" w:lineRule="auto"/>
        <w:ind w:right="33" w:hanging="360"/>
        <w:jc w:val="both"/>
      </w:pPr>
      <w:r>
        <w:t xml:space="preserve">Lote 6 Cantabria </w:t>
      </w:r>
    </w:p>
    <w:p w:rsidR="00B257BB" w:rsidRDefault="00B257BB" w:rsidP="00B257BB">
      <w:pPr>
        <w:numPr>
          <w:ilvl w:val="0"/>
          <w:numId w:val="4"/>
        </w:numPr>
        <w:spacing w:after="23" w:line="268" w:lineRule="auto"/>
        <w:ind w:right="33" w:hanging="360"/>
        <w:jc w:val="both"/>
      </w:pPr>
      <w:r>
        <w:t xml:space="preserve">Lote 7 Castilla La Mancha </w:t>
      </w:r>
    </w:p>
    <w:p w:rsidR="00B257BB" w:rsidRDefault="00B257BB" w:rsidP="00B257BB">
      <w:pPr>
        <w:numPr>
          <w:ilvl w:val="0"/>
          <w:numId w:val="4"/>
        </w:numPr>
        <w:spacing w:after="23" w:line="268" w:lineRule="auto"/>
        <w:ind w:right="33" w:hanging="360"/>
        <w:jc w:val="both"/>
      </w:pPr>
      <w:r>
        <w:t xml:space="preserve">Lote 8 Castilla León </w:t>
      </w:r>
    </w:p>
    <w:p w:rsidR="00B257BB" w:rsidRDefault="00B257BB" w:rsidP="00B257BB">
      <w:pPr>
        <w:numPr>
          <w:ilvl w:val="0"/>
          <w:numId w:val="4"/>
        </w:numPr>
        <w:spacing w:after="23" w:line="268" w:lineRule="auto"/>
        <w:ind w:right="33" w:hanging="360"/>
        <w:jc w:val="both"/>
      </w:pPr>
      <w:r>
        <w:t xml:space="preserve">Lote 9 Catalunya </w:t>
      </w:r>
    </w:p>
    <w:p w:rsidR="00B257BB" w:rsidRDefault="00B257BB" w:rsidP="00B257BB">
      <w:pPr>
        <w:numPr>
          <w:ilvl w:val="0"/>
          <w:numId w:val="4"/>
        </w:numPr>
        <w:spacing w:after="23" w:line="268" w:lineRule="auto"/>
        <w:ind w:right="33" w:hanging="360"/>
        <w:jc w:val="both"/>
      </w:pPr>
      <w:r>
        <w:t xml:space="preserve">Lote 10 Extremadura </w:t>
      </w:r>
    </w:p>
    <w:p w:rsidR="00B257BB" w:rsidRDefault="00B257BB" w:rsidP="00B257BB">
      <w:pPr>
        <w:numPr>
          <w:ilvl w:val="0"/>
          <w:numId w:val="4"/>
        </w:numPr>
        <w:spacing w:after="23" w:line="268" w:lineRule="auto"/>
        <w:ind w:right="33" w:hanging="360"/>
        <w:jc w:val="both"/>
      </w:pPr>
      <w:r>
        <w:t xml:space="preserve">Lote 11 Galicia </w:t>
      </w:r>
    </w:p>
    <w:p w:rsidR="00B257BB" w:rsidRDefault="00B257BB" w:rsidP="00B257BB">
      <w:pPr>
        <w:numPr>
          <w:ilvl w:val="0"/>
          <w:numId w:val="4"/>
        </w:numPr>
        <w:spacing w:after="23" w:line="268" w:lineRule="auto"/>
        <w:ind w:right="33" w:hanging="360"/>
        <w:jc w:val="both"/>
      </w:pPr>
      <w:r>
        <w:t xml:space="preserve">Lote 12 La Rioja </w:t>
      </w:r>
    </w:p>
    <w:p w:rsidR="00B257BB" w:rsidRDefault="00B257BB" w:rsidP="00B257BB">
      <w:pPr>
        <w:numPr>
          <w:ilvl w:val="0"/>
          <w:numId w:val="4"/>
        </w:numPr>
        <w:spacing w:after="23" w:line="268" w:lineRule="auto"/>
        <w:ind w:right="33" w:hanging="360"/>
        <w:jc w:val="both"/>
      </w:pPr>
      <w:r>
        <w:t xml:space="preserve">Lote 13 Madrid </w:t>
      </w:r>
    </w:p>
    <w:p w:rsidR="00B257BB" w:rsidRDefault="00B257BB" w:rsidP="00B257BB">
      <w:pPr>
        <w:numPr>
          <w:ilvl w:val="0"/>
          <w:numId w:val="4"/>
        </w:numPr>
        <w:spacing w:after="23" w:line="268" w:lineRule="auto"/>
        <w:ind w:right="33" w:hanging="360"/>
        <w:jc w:val="both"/>
      </w:pPr>
      <w:r>
        <w:t xml:space="preserve">Lote 14 Murcia </w:t>
      </w:r>
    </w:p>
    <w:p w:rsidR="00B257BB" w:rsidRDefault="00B257BB" w:rsidP="00B257BB">
      <w:pPr>
        <w:numPr>
          <w:ilvl w:val="0"/>
          <w:numId w:val="4"/>
        </w:numPr>
        <w:spacing w:after="23" w:line="268" w:lineRule="auto"/>
        <w:ind w:right="33" w:hanging="360"/>
        <w:jc w:val="both"/>
      </w:pPr>
      <w:r>
        <w:t xml:space="preserve">Lote 15 Navarra </w:t>
      </w:r>
    </w:p>
    <w:p w:rsidR="00B257BB" w:rsidRDefault="00B257BB" w:rsidP="00B257BB">
      <w:pPr>
        <w:numPr>
          <w:ilvl w:val="0"/>
          <w:numId w:val="4"/>
        </w:numPr>
        <w:spacing w:after="23" w:line="268" w:lineRule="auto"/>
        <w:ind w:right="33" w:hanging="360"/>
        <w:jc w:val="both"/>
      </w:pPr>
      <w:r>
        <w:t xml:space="preserve">Lote 16 País Vasco </w:t>
      </w:r>
    </w:p>
    <w:p w:rsidR="00B257BB" w:rsidRDefault="00B257BB" w:rsidP="00B257BB">
      <w:pPr>
        <w:numPr>
          <w:ilvl w:val="0"/>
          <w:numId w:val="4"/>
        </w:numPr>
        <w:spacing w:after="217" w:line="268" w:lineRule="auto"/>
        <w:ind w:right="33" w:hanging="360"/>
        <w:jc w:val="both"/>
      </w:pPr>
      <w:r>
        <w:t xml:space="preserve">Lote 17 Valencia </w:t>
      </w:r>
    </w:p>
    <w:p w:rsidR="00B257BB" w:rsidRDefault="00B257BB" w:rsidP="00B257BB"/>
    <w:p w:rsidR="00B257BB" w:rsidRDefault="00B257BB" w:rsidP="00B257BB">
      <w:r>
        <w:t>De estos lotes licitados han quedado desiertos los siguientes:</w:t>
      </w:r>
    </w:p>
    <w:p w:rsidR="00B257BB" w:rsidRDefault="00B257BB" w:rsidP="00B257BB">
      <w:pPr>
        <w:numPr>
          <w:ilvl w:val="0"/>
          <w:numId w:val="4"/>
        </w:numPr>
        <w:spacing w:after="23" w:line="268" w:lineRule="auto"/>
        <w:ind w:right="33" w:hanging="360"/>
        <w:jc w:val="both"/>
      </w:pPr>
      <w:r>
        <w:t xml:space="preserve">Lote 1 Andalucía, Ceuta y Melilla </w:t>
      </w:r>
    </w:p>
    <w:p w:rsidR="00B257BB" w:rsidRDefault="00B257BB" w:rsidP="00B257BB">
      <w:pPr>
        <w:numPr>
          <w:ilvl w:val="0"/>
          <w:numId w:val="4"/>
        </w:numPr>
        <w:spacing w:after="23" w:line="268" w:lineRule="auto"/>
        <w:ind w:right="33" w:hanging="360"/>
        <w:jc w:val="both"/>
      </w:pPr>
      <w:r>
        <w:t xml:space="preserve">Lote 5 Canarias </w:t>
      </w:r>
    </w:p>
    <w:p w:rsidR="00B257BB" w:rsidRDefault="00B257BB" w:rsidP="00B257BB">
      <w:pPr>
        <w:numPr>
          <w:ilvl w:val="0"/>
          <w:numId w:val="4"/>
        </w:numPr>
        <w:spacing w:after="23" w:line="268" w:lineRule="auto"/>
        <w:ind w:right="33" w:hanging="360"/>
        <w:jc w:val="both"/>
      </w:pPr>
      <w:r>
        <w:t xml:space="preserve">Lote 14 Murcia </w:t>
      </w:r>
    </w:p>
    <w:p w:rsidR="00B257BB" w:rsidRDefault="00B257BB" w:rsidP="00B257BB">
      <w:pPr>
        <w:spacing w:after="23" w:line="268" w:lineRule="auto"/>
        <w:ind w:right="33"/>
      </w:pPr>
    </w:p>
    <w:p w:rsidR="00B257BB" w:rsidRDefault="00B257BB" w:rsidP="00B257BB">
      <w:pPr>
        <w:spacing w:after="23" w:line="268" w:lineRule="auto"/>
        <w:ind w:right="33"/>
      </w:pPr>
      <w:r>
        <w:lastRenderedPageBreak/>
        <w:t xml:space="preserve">Con el fin de mejorar de forma continua por parte de RTVE y lograr una mayor concurrencia para futuras licitaciones se ha solicitado a los diferentes licitadores y no licitadores el motivo por el que han decidido no presentar oferta a estos lotes. </w:t>
      </w:r>
    </w:p>
    <w:p w:rsidR="00B257BB" w:rsidRDefault="00B257BB" w:rsidP="00B257BB">
      <w:pPr>
        <w:spacing w:after="23" w:line="268" w:lineRule="auto"/>
        <w:ind w:right="33"/>
      </w:pPr>
    </w:p>
    <w:p w:rsidR="00B257BB" w:rsidRDefault="00B257BB" w:rsidP="00AF4AF4">
      <w:pPr>
        <w:spacing w:after="23" w:line="268" w:lineRule="auto"/>
        <w:ind w:right="33"/>
        <w:jc w:val="both"/>
      </w:pPr>
      <w:r>
        <w:t>La mayoría de las empresas han indicado que el principal obstáculo para no haber presentado oferta es el económico. Consideran que los importes de licitación de los tres lotes están por debajo del sector en esas Comunidades Autónomas.</w:t>
      </w:r>
    </w:p>
    <w:p w:rsidR="00B257BB" w:rsidRDefault="00B257BB" w:rsidP="00AF4AF4">
      <w:pPr>
        <w:spacing w:after="23" w:line="268" w:lineRule="auto"/>
        <w:ind w:right="33"/>
        <w:jc w:val="both"/>
      </w:pPr>
      <w:r>
        <w:t xml:space="preserve">Se propone licitar de nuevo el servicio de limpieza e higienización de los centros correspondientes a estos tres lotes por una duración máxima de dos (2) años más dos (2) prórrogas por un periodo anual cada una de ellas. </w:t>
      </w:r>
    </w:p>
    <w:p w:rsidR="00B257BB" w:rsidRDefault="00B257BB" w:rsidP="00B257BB">
      <w:pPr>
        <w:spacing w:after="23" w:line="268" w:lineRule="auto"/>
        <w:ind w:right="33"/>
      </w:pPr>
    </w:p>
    <w:p w:rsidR="00B257BB" w:rsidRDefault="00B257BB" w:rsidP="00B257BB">
      <w:pPr>
        <w:pStyle w:val="Ttulo1"/>
        <w:ind w:left="9"/>
      </w:pPr>
      <w:r>
        <w:t xml:space="preserve">INFORME DE INSUFICIENCIA DE MEDIOS </w:t>
      </w:r>
    </w:p>
    <w:p w:rsidR="00B257BB" w:rsidRDefault="00B257BB" w:rsidP="00B257BB">
      <w:pPr>
        <w:spacing w:after="43" w:line="259" w:lineRule="auto"/>
        <w:ind w:left="14"/>
      </w:pPr>
      <w:r>
        <w:t xml:space="preserve"> </w:t>
      </w:r>
    </w:p>
    <w:p w:rsidR="00B257BB" w:rsidRDefault="00B257BB" w:rsidP="00AF4AF4">
      <w:pPr>
        <w:spacing w:after="32"/>
        <w:ind w:right="1"/>
        <w:jc w:val="both"/>
      </w:pPr>
      <w:r>
        <w:t xml:space="preserve">La contratación que se solicita no se puede realizar con medios propios al no contar la Corporación RTVE con los medios técnicos y materiales necesarios para la realización del servicio.  </w:t>
      </w:r>
    </w:p>
    <w:p w:rsidR="00B257BB" w:rsidRDefault="00B257BB" w:rsidP="00B257BB">
      <w:pPr>
        <w:spacing w:after="40" w:line="259" w:lineRule="auto"/>
        <w:ind w:left="14"/>
      </w:pPr>
      <w:r>
        <w:t xml:space="preserve"> </w:t>
      </w:r>
    </w:p>
    <w:p w:rsidR="00B257BB" w:rsidRDefault="00B257BB" w:rsidP="00B257BB">
      <w:pPr>
        <w:pStyle w:val="Ttulo1"/>
        <w:spacing w:after="7"/>
        <w:ind w:left="9"/>
      </w:pPr>
      <w:r>
        <w:t xml:space="preserve">LOTES DE LA CONTRATACIÓN  </w:t>
      </w:r>
    </w:p>
    <w:p w:rsidR="00B257BB" w:rsidRDefault="00B257BB" w:rsidP="00B257BB">
      <w:pPr>
        <w:spacing w:after="0" w:line="259" w:lineRule="auto"/>
        <w:ind w:left="14"/>
      </w:pPr>
      <w:r>
        <w:t xml:space="preserve">  </w:t>
      </w:r>
    </w:p>
    <w:p w:rsidR="00B257BB" w:rsidRDefault="00B257BB" w:rsidP="00B257BB">
      <w:pPr>
        <w:spacing w:after="0"/>
        <w:ind w:right="1"/>
      </w:pPr>
      <w:r>
        <w:t xml:space="preserve">El expediente se ha planteado en 3 lotes regionales para fomentar la concurrencia de empresas locales y regionales que no tiene porqué cubrir la totalidad del territorio.   </w:t>
      </w:r>
    </w:p>
    <w:p w:rsidR="00B257BB" w:rsidRDefault="00B257BB" w:rsidP="00B257BB">
      <w:pPr>
        <w:spacing w:after="75" w:line="259" w:lineRule="auto"/>
        <w:ind w:left="14"/>
      </w:pPr>
      <w:r>
        <w:t xml:space="preserve">  </w:t>
      </w:r>
    </w:p>
    <w:p w:rsidR="00B257BB" w:rsidRDefault="00B257BB" w:rsidP="00B257BB">
      <w:pPr>
        <w:numPr>
          <w:ilvl w:val="0"/>
          <w:numId w:val="2"/>
        </w:numPr>
        <w:spacing w:after="63" w:line="267" w:lineRule="auto"/>
        <w:ind w:right="1" w:hanging="360"/>
        <w:jc w:val="both"/>
      </w:pPr>
      <w:r>
        <w:t xml:space="preserve">Lote 1 Andalucía, Ceuta y Melilla  </w:t>
      </w:r>
    </w:p>
    <w:p w:rsidR="00B257BB" w:rsidRDefault="00B257BB" w:rsidP="00B257BB">
      <w:pPr>
        <w:numPr>
          <w:ilvl w:val="0"/>
          <w:numId w:val="2"/>
        </w:numPr>
        <w:spacing w:after="63" w:line="267" w:lineRule="auto"/>
        <w:ind w:right="1" w:hanging="360"/>
        <w:jc w:val="both"/>
      </w:pPr>
      <w:r>
        <w:t xml:space="preserve">Lote </w:t>
      </w:r>
      <w:r w:rsidR="006A23C0">
        <w:t>2</w:t>
      </w:r>
      <w:r>
        <w:t xml:space="preserve"> Canarias  </w:t>
      </w:r>
    </w:p>
    <w:p w:rsidR="00B257BB" w:rsidRDefault="00B257BB" w:rsidP="00B257BB">
      <w:pPr>
        <w:numPr>
          <w:ilvl w:val="0"/>
          <w:numId w:val="2"/>
        </w:numPr>
        <w:spacing w:after="63" w:line="267" w:lineRule="auto"/>
        <w:ind w:right="1" w:hanging="360"/>
        <w:jc w:val="both"/>
      </w:pPr>
      <w:r>
        <w:t xml:space="preserve">Lote </w:t>
      </w:r>
      <w:r w:rsidR="006A23C0">
        <w:t>3</w:t>
      </w:r>
      <w:r>
        <w:t xml:space="preserve"> Murcia  </w:t>
      </w:r>
    </w:p>
    <w:p w:rsidR="00B257BB" w:rsidRDefault="00B257BB" w:rsidP="00B257BB">
      <w:pPr>
        <w:spacing w:after="211"/>
        <w:ind w:left="720" w:right="1"/>
      </w:pPr>
      <w:r>
        <w:t xml:space="preserve"> </w:t>
      </w:r>
    </w:p>
    <w:p w:rsidR="00B257BB" w:rsidRDefault="00B257BB" w:rsidP="00B257BB">
      <w:pPr>
        <w:pStyle w:val="Ttulo1"/>
        <w:spacing w:after="227"/>
        <w:ind w:left="9"/>
      </w:pPr>
      <w:r>
        <w:rPr>
          <w:b w:val="0"/>
        </w:rPr>
        <w:t xml:space="preserve"> </w:t>
      </w:r>
      <w:r>
        <w:t xml:space="preserve">JUSTIFICACIÓN DEL PROCEDIMIENTO  </w:t>
      </w:r>
    </w:p>
    <w:p w:rsidR="00B257BB" w:rsidRDefault="00B257BB" w:rsidP="00B257BB">
      <w:pPr>
        <w:spacing w:after="0"/>
        <w:ind w:right="1"/>
      </w:pPr>
      <w:r>
        <w:t xml:space="preserve">Procedimiento general abierto, sujeto a regulación armonizada (SARA), con una vigencia de 2 años prorrogables hasta dos años más.    </w:t>
      </w:r>
    </w:p>
    <w:p w:rsidR="00B257BB" w:rsidRDefault="00B257BB" w:rsidP="00B257BB">
      <w:pPr>
        <w:spacing w:after="0"/>
        <w:ind w:right="1"/>
      </w:pPr>
      <w:r>
        <w:t xml:space="preserve">No se dan los requisitos que establece la LCSP para tramitar esta contratación por otro procedimiento distinto a este.  </w:t>
      </w:r>
    </w:p>
    <w:p w:rsidR="00B257BB" w:rsidRDefault="00B257BB" w:rsidP="00B257BB">
      <w:pPr>
        <w:spacing w:after="0" w:line="259" w:lineRule="auto"/>
        <w:ind w:left="14"/>
      </w:pPr>
      <w:r>
        <w:t xml:space="preserve">  </w:t>
      </w:r>
    </w:p>
    <w:p w:rsidR="00B257BB" w:rsidRDefault="00B257BB" w:rsidP="00B257BB">
      <w:pPr>
        <w:spacing w:after="0"/>
        <w:ind w:right="1"/>
      </w:pPr>
      <w:r>
        <w:t xml:space="preserve">El procedimiento abierto es garantía de transparencia e igualdad de trato entre los licitadores, garantizando, asimismo, una mayor concurrencia.  </w:t>
      </w:r>
    </w:p>
    <w:p w:rsidR="00B257BB" w:rsidRDefault="00B257BB" w:rsidP="00B257BB">
      <w:pPr>
        <w:spacing w:after="40" w:line="259" w:lineRule="auto"/>
        <w:ind w:left="14"/>
      </w:pPr>
      <w:r>
        <w:t xml:space="preserve"> </w:t>
      </w:r>
    </w:p>
    <w:p w:rsidR="00B257BB" w:rsidRDefault="00B257BB" w:rsidP="00B257BB">
      <w:pPr>
        <w:pStyle w:val="Ttulo1"/>
        <w:ind w:left="9"/>
      </w:pPr>
    </w:p>
    <w:p w:rsidR="00B257BB" w:rsidRDefault="00B257BB" w:rsidP="00B257BB">
      <w:pPr>
        <w:pStyle w:val="Ttulo1"/>
        <w:ind w:left="9"/>
      </w:pPr>
      <w:r>
        <w:t xml:space="preserve">EXISTENCIA DE PRESUPUESTO  </w:t>
      </w:r>
    </w:p>
    <w:p w:rsidR="00B257BB" w:rsidRDefault="00B257BB" w:rsidP="00B257BB">
      <w:pPr>
        <w:spacing w:after="40" w:line="259" w:lineRule="auto"/>
        <w:ind w:left="14"/>
      </w:pPr>
    </w:p>
    <w:p w:rsidR="00B257BB" w:rsidRDefault="00AF4AF4" w:rsidP="00B257BB">
      <w:pPr>
        <w:spacing w:after="16"/>
        <w:ind w:left="14" w:right="1"/>
      </w:pPr>
      <w:r>
        <w:t>S</w:t>
      </w:r>
      <w:r w:rsidRPr="00AF4AF4">
        <w:t xml:space="preserve">e ha consultado con empresas del sector, sobre el importe de licitación necesario para poder concurrir a la licitación y que el contrato sea económicamente viable para el  adjudicatario. </w:t>
      </w:r>
      <w:r w:rsidR="00B257BB">
        <w:lastRenderedPageBreak/>
        <w:t xml:space="preserve">Tras el análisis de los presupuestos presentados se propone un presupuesto de 1.944.899,12 € para un contrato de dos años más dos posibles prórrogas de un año cada una según el siguiente desglose por lotes. </w:t>
      </w:r>
    </w:p>
    <w:p w:rsidR="008E28EF" w:rsidRDefault="008E28EF" w:rsidP="00B257BB">
      <w:pPr>
        <w:spacing w:after="16"/>
        <w:ind w:left="14" w:right="1"/>
      </w:pPr>
      <w:bookmarkStart w:id="0" w:name="_GoBack"/>
      <w:bookmarkEnd w:id="0"/>
    </w:p>
    <w:tbl>
      <w:tblPr>
        <w:tblW w:w="9488" w:type="dxa"/>
        <w:tblCellMar>
          <w:left w:w="70" w:type="dxa"/>
          <w:right w:w="70" w:type="dxa"/>
        </w:tblCellMar>
        <w:tblLook w:val="04A0" w:firstRow="1" w:lastRow="0" w:firstColumn="1" w:lastColumn="0" w:noHBand="0" w:noVBand="1"/>
      </w:tblPr>
      <w:tblGrid>
        <w:gridCol w:w="699"/>
        <w:gridCol w:w="1418"/>
        <w:gridCol w:w="1518"/>
        <w:gridCol w:w="1458"/>
        <w:gridCol w:w="1418"/>
        <w:gridCol w:w="1465"/>
        <w:gridCol w:w="1512"/>
      </w:tblGrid>
      <w:tr w:rsidR="002E2364" w:rsidRPr="002E2364" w:rsidTr="002E2364">
        <w:trPr>
          <w:trHeight w:val="300"/>
        </w:trPr>
        <w:tc>
          <w:tcPr>
            <w:tcW w:w="699"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LOTE</w:t>
            </w:r>
          </w:p>
        </w:tc>
        <w:tc>
          <w:tcPr>
            <w:tcW w:w="1418"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COMUNIDAD AUTÓNOMA</w:t>
            </w:r>
          </w:p>
        </w:tc>
        <w:tc>
          <w:tcPr>
            <w:tcW w:w="1518" w:type="dxa"/>
            <w:tcBorders>
              <w:top w:val="single" w:sz="8" w:space="0" w:color="auto"/>
              <w:left w:val="nil"/>
              <w:bottom w:val="single" w:sz="8" w:space="0" w:color="auto"/>
              <w:right w:val="single" w:sz="8" w:space="0" w:color="auto"/>
            </w:tcBorders>
            <w:shd w:val="clear" w:color="000000" w:fill="D9D9D9"/>
            <w:noWrap/>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CONTRATO</w:t>
            </w:r>
          </w:p>
        </w:tc>
        <w:tc>
          <w:tcPr>
            <w:tcW w:w="1458" w:type="dxa"/>
            <w:tcBorders>
              <w:top w:val="single" w:sz="8" w:space="0" w:color="auto"/>
              <w:left w:val="nil"/>
              <w:bottom w:val="nil"/>
              <w:right w:val="single" w:sz="8" w:space="0" w:color="auto"/>
            </w:tcBorders>
            <w:shd w:val="clear" w:color="000000" w:fill="D9D9D9"/>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PRÓRROGA</w:t>
            </w:r>
          </w:p>
        </w:tc>
        <w:tc>
          <w:tcPr>
            <w:tcW w:w="1418"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 xml:space="preserve">TOTAL CONTRATO </w:t>
            </w:r>
            <w:r w:rsidRPr="002E2364">
              <w:rPr>
                <w:rFonts w:ascii="Cambria" w:eastAsia="Times New Roman" w:hAnsi="Cambria" w:cs="Calibri"/>
                <w:b/>
                <w:bCs/>
                <w:color w:val="000000"/>
                <w:sz w:val="18"/>
                <w:szCs w:val="18"/>
                <w:lang w:eastAsia="es-ES"/>
              </w:rPr>
              <w:br/>
              <w:t>+ PRÓRROGA</w:t>
            </w:r>
          </w:p>
        </w:tc>
        <w:tc>
          <w:tcPr>
            <w:tcW w:w="1465"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MODIFICACIÓN 10%</w:t>
            </w:r>
          </w:p>
        </w:tc>
        <w:tc>
          <w:tcPr>
            <w:tcW w:w="1512"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IMPORTE ESTIMADO</w:t>
            </w:r>
          </w:p>
        </w:tc>
      </w:tr>
      <w:tr w:rsidR="002E2364" w:rsidRPr="002E2364" w:rsidTr="002E2364">
        <w:trPr>
          <w:trHeight w:val="300"/>
        </w:trPr>
        <w:tc>
          <w:tcPr>
            <w:tcW w:w="699" w:type="dxa"/>
            <w:vMerge/>
            <w:tcBorders>
              <w:top w:val="single" w:sz="8" w:space="0" w:color="auto"/>
              <w:left w:val="single" w:sz="8" w:space="0" w:color="auto"/>
              <w:bottom w:val="single" w:sz="8" w:space="0" w:color="000000"/>
              <w:right w:val="single" w:sz="8" w:space="0" w:color="auto"/>
            </w:tcBorders>
            <w:vAlign w:val="center"/>
            <w:hideMark/>
          </w:tcPr>
          <w:p w:rsidR="002E2364" w:rsidRPr="002E2364" w:rsidRDefault="002E2364" w:rsidP="002E2364">
            <w:pPr>
              <w:spacing w:after="0" w:line="240" w:lineRule="auto"/>
              <w:rPr>
                <w:rFonts w:ascii="Cambria" w:eastAsia="Times New Roman" w:hAnsi="Cambria" w:cs="Calibri"/>
                <w:b/>
                <w:bCs/>
                <w:color w:val="000000"/>
                <w:sz w:val="18"/>
                <w:szCs w:val="18"/>
                <w:lang w:eastAsia="es-ES"/>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rsidR="002E2364" w:rsidRPr="002E2364" w:rsidRDefault="002E2364" w:rsidP="002E2364">
            <w:pPr>
              <w:spacing w:after="0" w:line="240" w:lineRule="auto"/>
              <w:rPr>
                <w:rFonts w:ascii="Cambria" w:eastAsia="Times New Roman" w:hAnsi="Cambria" w:cs="Calibri"/>
                <w:b/>
                <w:bCs/>
                <w:color w:val="000000"/>
                <w:sz w:val="18"/>
                <w:szCs w:val="18"/>
                <w:lang w:eastAsia="es-ES"/>
              </w:rPr>
            </w:pPr>
          </w:p>
        </w:tc>
        <w:tc>
          <w:tcPr>
            <w:tcW w:w="1518" w:type="dxa"/>
            <w:tcBorders>
              <w:top w:val="nil"/>
              <w:left w:val="nil"/>
              <w:bottom w:val="single" w:sz="8" w:space="0" w:color="auto"/>
              <w:right w:val="single" w:sz="8" w:space="0" w:color="auto"/>
            </w:tcBorders>
            <w:shd w:val="clear" w:color="000000" w:fill="F2F2F2"/>
            <w:noWrap/>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2 AÑOS</w:t>
            </w:r>
          </w:p>
        </w:tc>
        <w:tc>
          <w:tcPr>
            <w:tcW w:w="1458" w:type="dxa"/>
            <w:tcBorders>
              <w:top w:val="single" w:sz="8" w:space="0" w:color="auto"/>
              <w:left w:val="nil"/>
              <w:bottom w:val="single" w:sz="8" w:space="0" w:color="auto"/>
              <w:right w:val="single" w:sz="8" w:space="0" w:color="auto"/>
            </w:tcBorders>
            <w:shd w:val="clear" w:color="000000" w:fill="F2F2F2"/>
            <w:noWrap/>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2 AÑOS</w:t>
            </w:r>
          </w:p>
        </w:tc>
        <w:tc>
          <w:tcPr>
            <w:tcW w:w="1418" w:type="dxa"/>
            <w:vMerge/>
            <w:tcBorders>
              <w:top w:val="single" w:sz="8" w:space="0" w:color="auto"/>
              <w:left w:val="single" w:sz="8" w:space="0" w:color="auto"/>
              <w:bottom w:val="single" w:sz="8" w:space="0" w:color="000000"/>
              <w:right w:val="single" w:sz="8" w:space="0" w:color="auto"/>
            </w:tcBorders>
            <w:vAlign w:val="center"/>
            <w:hideMark/>
          </w:tcPr>
          <w:p w:rsidR="002E2364" w:rsidRPr="002E2364" w:rsidRDefault="002E2364" w:rsidP="002E2364">
            <w:pPr>
              <w:spacing w:after="0" w:line="240" w:lineRule="auto"/>
              <w:rPr>
                <w:rFonts w:ascii="Cambria" w:eastAsia="Times New Roman" w:hAnsi="Cambria" w:cs="Calibri"/>
                <w:b/>
                <w:bCs/>
                <w:color w:val="000000"/>
                <w:sz w:val="18"/>
                <w:szCs w:val="18"/>
                <w:lang w:eastAsia="es-ES"/>
              </w:rPr>
            </w:pPr>
          </w:p>
        </w:tc>
        <w:tc>
          <w:tcPr>
            <w:tcW w:w="1465" w:type="dxa"/>
            <w:vMerge/>
            <w:tcBorders>
              <w:top w:val="single" w:sz="8" w:space="0" w:color="auto"/>
              <w:left w:val="single" w:sz="8" w:space="0" w:color="auto"/>
              <w:bottom w:val="single" w:sz="8" w:space="0" w:color="000000"/>
              <w:right w:val="single" w:sz="8" w:space="0" w:color="auto"/>
            </w:tcBorders>
            <w:vAlign w:val="center"/>
            <w:hideMark/>
          </w:tcPr>
          <w:p w:rsidR="002E2364" w:rsidRPr="002E2364" w:rsidRDefault="002E2364" w:rsidP="002E2364">
            <w:pPr>
              <w:spacing w:after="0" w:line="240" w:lineRule="auto"/>
              <w:rPr>
                <w:rFonts w:ascii="Cambria" w:eastAsia="Times New Roman" w:hAnsi="Cambria" w:cs="Calibri"/>
                <w:b/>
                <w:bCs/>
                <w:color w:val="000000"/>
                <w:sz w:val="18"/>
                <w:szCs w:val="18"/>
                <w:lang w:eastAsia="es-ES"/>
              </w:rPr>
            </w:pPr>
          </w:p>
        </w:tc>
        <w:tc>
          <w:tcPr>
            <w:tcW w:w="1512" w:type="dxa"/>
            <w:vMerge/>
            <w:tcBorders>
              <w:top w:val="single" w:sz="8" w:space="0" w:color="auto"/>
              <w:left w:val="single" w:sz="8" w:space="0" w:color="auto"/>
              <w:bottom w:val="single" w:sz="8" w:space="0" w:color="000000"/>
              <w:right w:val="single" w:sz="8" w:space="0" w:color="auto"/>
            </w:tcBorders>
            <w:vAlign w:val="center"/>
            <w:hideMark/>
          </w:tcPr>
          <w:p w:rsidR="002E2364" w:rsidRPr="002E2364" w:rsidRDefault="002E2364" w:rsidP="002E2364">
            <w:pPr>
              <w:spacing w:after="0" w:line="240" w:lineRule="auto"/>
              <w:rPr>
                <w:rFonts w:ascii="Cambria" w:eastAsia="Times New Roman" w:hAnsi="Cambria" w:cs="Calibri"/>
                <w:b/>
                <w:bCs/>
                <w:color w:val="000000"/>
                <w:sz w:val="18"/>
                <w:szCs w:val="18"/>
                <w:lang w:eastAsia="es-ES"/>
              </w:rPr>
            </w:pPr>
          </w:p>
        </w:tc>
      </w:tr>
      <w:tr w:rsidR="002E2364" w:rsidRPr="002E2364" w:rsidTr="002E2364">
        <w:trPr>
          <w:trHeight w:val="300"/>
        </w:trPr>
        <w:tc>
          <w:tcPr>
            <w:tcW w:w="699" w:type="dxa"/>
            <w:tcBorders>
              <w:top w:val="nil"/>
              <w:left w:val="single" w:sz="8" w:space="0" w:color="auto"/>
              <w:bottom w:val="single" w:sz="8" w:space="0" w:color="auto"/>
              <w:right w:val="single" w:sz="8" w:space="0" w:color="auto"/>
            </w:tcBorders>
            <w:shd w:val="clear" w:color="auto" w:fill="auto"/>
            <w:noWrap/>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1</w:t>
            </w:r>
          </w:p>
        </w:tc>
        <w:tc>
          <w:tcPr>
            <w:tcW w:w="1418" w:type="dxa"/>
            <w:tcBorders>
              <w:top w:val="nil"/>
              <w:left w:val="nil"/>
              <w:bottom w:val="single" w:sz="8" w:space="0" w:color="auto"/>
              <w:right w:val="single" w:sz="8" w:space="0" w:color="auto"/>
            </w:tcBorders>
            <w:shd w:val="clear" w:color="auto" w:fill="auto"/>
            <w:noWrap/>
            <w:vAlign w:val="center"/>
            <w:hideMark/>
          </w:tcPr>
          <w:p w:rsidR="002E2364" w:rsidRPr="002E2364" w:rsidRDefault="002E2364" w:rsidP="002E2364">
            <w:pPr>
              <w:spacing w:after="0" w:line="240" w:lineRule="auto"/>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ANDALUCIA (*)</w:t>
            </w:r>
          </w:p>
        </w:tc>
        <w:tc>
          <w:tcPr>
            <w:tcW w:w="1518" w:type="dxa"/>
            <w:tcBorders>
              <w:top w:val="nil"/>
              <w:left w:val="nil"/>
              <w:bottom w:val="single" w:sz="8" w:space="0" w:color="auto"/>
              <w:right w:val="single" w:sz="8" w:space="0" w:color="auto"/>
            </w:tcBorders>
            <w:shd w:val="clear" w:color="auto" w:fill="auto"/>
            <w:noWrap/>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380.751,56 €</w:t>
            </w:r>
          </w:p>
        </w:tc>
        <w:tc>
          <w:tcPr>
            <w:tcW w:w="1458" w:type="dxa"/>
            <w:tcBorders>
              <w:top w:val="nil"/>
              <w:left w:val="nil"/>
              <w:bottom w:val="single" w:sz="8" w:space="0" w:color="auto"/>
              <w:right w:val="single" w:sz="8" w:space="0" w:color="auto"/>
            </w:tcBorders>
            <w:shd w:val="clear" w:color="auto" w:fill="auto"/>
            <w:noWrap/>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380.751,56 €</w:t>
            </w:r>
          </w:p>
        </w:tc>
        <w:tc>
          <w:tcPr>
            <w:tcW w:w="1418" w:type="dxa"/>
            <w:tcBorders>
              <w:top w:val="nil"/>
              <w:left w:val="nil"/>
              <w:bottom w:val="single" w:sz="8" w:space="0" w:color="auto"/>
              <w:right w:val="single" w:sz="8" w:space="0" w:color="auto"/>
            </w:tcBorders>
            <w:shd w:val="clear" w:color="auto" w:fill="auto"/>
            <w:noWrap/>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761.503,12 €</w:t>
            </w:r>
          </w:p>
        </w:tc>
        <w:tc>
          <w:tcPr>
            <w:tcW w:w="1465" w:type="dxa"/>
            <w:tcBorders>
              <w:top w:val="nil"/>
              <w:left w:val="nil"/>
              <w:bottom w:val="single" w:sz="8" w:space="0" w:color="auto"/>
              <w:right w:val="single" w:sz="8" w:space="0" w:color="auto"/>
            </w:tcBorders>
            <w:shd w:val="clear" w:color="auto" w:fill="auto"/>
            <w:noWrap/>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38.075,16 €</w:t>
            </w:r>
          </w:p>
        </w:tc>
        <w:tc>
          <w:tcPr>
            <w:tcW w:w="1512" w:type="dxa"/>
            <w:tcBorders>
              <w:top w:val="nil"/>
              <w:left w:val="nil"/>
              <w:bottom w:val="single" w:sz="8" w:space="0" w:color="auto"/>
              <w:right w:val="single" w:sz="8" w:space="0" w:color="auto"/>
            </w:tcBorders>
            <w:shd w:val="clear" w:color="auto" w:fill="auto"/>
            <w:noWrap/>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799.578,28 €</w:t>
            </w:r>
          </w:p>
        </w:tc>
      </w:tr>
      <w:tr w:rsidR="002E2364" w:rsidRPr="002E2364" w:rsidTr="002E2364">
        <w:trPr>
          <w:trHeight w:val="300"/>
        </w:trPr>
        <w:tc>
          <w:tcPr>
            <w:tcW w:w="699" w:type="dxa"/>
            <w:tcBorders>
              <w:top w:val="nil"/>
              <w:left w:val="single" w:sz="8" w:space="0" w:color="auto"/>
              <w:bottom w:val="single" w:sz="8" w:space="0" w:color="auto"/>
              <w:right w:val="single" w:sz="8" w:space="0" w:color="auto"/>
            </w:tcBorders>
            <w:shd w:val="clear" w:color="auto" w:fill="auto"/>
            <w:noWrap/>
            <w:vAlign w:val="center"/>
            <w:hideMark/>
          </w:tcPr>
          <w:p w:rsidR="002E2364" w:rsidRPr="002E2364" w:rsidRDefault="00303EB4" w:rsidP="002E2364">
            <w:pPr>
              <w:spacing w:after="0" w:line="240" w:lineRule="auto"/>
              <w:jc w:val="center"/>
              <w:rPr>
                <w:rFonts w:ascii="Cambria" w:eastAsia="Times New Roman" w:hAnsi="Cambria" w:cs="Calibri"/>
                <w:color w:val="000000"/>
                <w:sz w:val="18"/>
                <w:szCs w:val="18"/>
                <w:lang w:eastAsia="es-ES"/>
              </w:rPr>
            </w:pPr>
            <w:r>
              <w:rPr>
                <w:rFonts w:ascii="Cambria" w:eastAsia="Times New Roman" w:hAnsi="Cambria" w:cs="Calibri"/>
                <w:color w:val="000000"/>
                <w:sz w:val="18"/>
                <w:szCs w:val="18"/>
                <w:lang w:eastAsia="es-ES"/>
              </w:rPr>
              <w:t>2</w:t>
            </w:r>
          </w:p>
        </w:tc>
        <w:tc>
          <w:tcPr>
            <w:tcW w:w="1418" w:type="dxa"/>
            <w:tcBorders>
              <w:top w:val="nil"/>
              <w:left w:val="nil"/>
              <w:bottom w:val="single" w:sz="8" w:space="0" w:color="auto"/>
              <w:right w:val="single" w:sz="8" w:space="0" w:color="auto"/>
            </w:tcBorders>
            <w:shd w:val="clear" w:color="auto" w:fill="auto"/>
            <w:noWrap/>
            <w:vAlign w:val="center"/>
            <w:hideMark/>
          </w:tcPr>
          <w:p w:rsidR="002E2364" w:rsidRPr="002E2364" w:rsidRDefault="002E2364" w:rsidP="002E2364">
            <w:pPr>
              <w:spacing w:after="0" w:line="240" w:lineRule="auto"/>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CANARIAS</w:t>
            </w:r>
          </w:p>
        </w:tc>
        <w:tc>
          <w:tcPr>
            <w:tcW w:w="1518" w:type="dxa"/>
            <w:tcBorders>
              <w:top w:val="nil"/>
              <w:left w:val="nil"/>
              <w:bottom w:val="single" w:sz="8" w:space="0" w:color="auto"/>
              <w:right w:val="single" w:sz="8" w:space="0" w:color="auto"/>
            </w:tcBorders>
            <w:shd w:val="clear" w:color="auto" w:fill="auto"/>
            <w:noWrap/>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400.674,54 €</w:t>
            </w:r>
          </w:p>
        </w:tc>
        <w:tc>
          <w:tcPr>
            <w:tcW w:w="1458" w:type="dxa"/>
            <w:tcBorders>
              <w:top w:val="nil"/>
              <w:left w:val="nil"/>
              <w:bottom w:val="single" w:sz="8" w:space="0" w:color="auto"/>
              <w:right w:val="single" w:sz="8" w:space="0" w:color="auto"/>
            </w:tcBorders>
            <w:shd w:val="clear" w:color="auto" w:fill="auto"/>
            <w:noWrap/>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400.674,54 €</w:t>
            </w:r>
          </w:p>
        </w:tc>
        <w:tc>
          <w:tcPr>
            <w:tcW w:w="1418" w:type="dxa"/>
            <w:tcBorders>
              <w:top w:val="nil"/>
              <w:left w:val="nil"/>
              <w:bottom w:val="single" w:sz="8" w:space="0" w:color="auto"/>
              <w:right w:val="single" w:sz="8" w:space="0" w:color="auto"/>
            </w:tcBorders>
            <w:shd w:val="clear" w:color="auto" w:fill="auto"/>
            <w:noWrap/>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801.349,08 €</w:t>
            </w:r>
          </w:p>
        </w:tc>
        <w:tc>
          <w:tcPr>
            <w:tcW w:w="1465" w:type="dxa"/>
            <w:tcBorders>
              <w:top w:val="nil"/>
              <w:left w:val="nil"/>
              <w:bottom w:val="single" w:sz="8" w:space="0" w:color="auto"/>
              <w:right w:val="single" w:sz="8" w:space="0" w:color="auto"/>
            </w:tcBorders>
            <w:shd w:val="clear" w:color="auto" w:fill="auto"/>
            <w:noWrap/>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40.067,45 €</w:t>
            </w:r>
          </w:p>
        </w:tc>
        <w:tc>
          <w:tcPr>
            <w:tcW w:w="1512" w:type="dxa"/>
            <w:tcBorders>
              <w:top w:val="nil"/>
              <w:left w:val="nil"/>
              <w:bottom w:val="single" w:sz="8" w:space="0" w:color="auto"/>
              <w:right w:val="single" w:sz="8" w:space="0" w:color="auto"/>
            </w:tcBorders>
            <w:shd w:val="clear" w:color="auto" w:fill="auto"/>
            <w:noWrap/>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841.416,53 €</w:t>
            </w:r>
          </w:p>
        </w:tc>
      </w:tr>
      <w:tr w:rsidR="002E2364" w:rsidRPr="002E2364" w:rsidTr="002E2364">
        <w:trPr>
          <w:trHeight w:val="300"/>
        </w:trPr>
        <w:tc>
          <w:tcPr>
            <w:tcW w:w="699" w:type="dxa"/>
            <w:tcBorders>
              <w:top w:val="nil"/>
              <w:left w:val="single" w:sz="8" w:space="0" w:color="auto"/>
              <w:bottom w:val="single" w:sz="8" w:space="0" w:color="auto"/>
              <w:right w:val="single" w:sz="8" w:space="0" w:color="auto"/>
            </w:tcBorders>
            <w:shd w:val="clear" w:color="auto" w:fill="auto"/>
            <w:noWrap/>
            <w:vAlign w:val="center"/>
            <w:hideMark/>
          </w:tcPr>
          <w:p w:rsidR="002E2364" w:rsidRPr="002E2364" w:rsidRDefault="00303EB4" w:rsidP="002E2364">
            <w:pPr>
              <w:spacing w:after="0" w:line="240" w:lineRule="auto"/>
              <w:jc w:val="center"/>
              <w:rPr>
                <w:rFonts w:ascii="Cambria" w:eastAsia="Times New Roman" w:hAnsi="Cambria" w:cs="Calibri"/>
                <w:color w:val="000000"/>
                <w:sz w:val="18"/>
                <w:szCs w:val="18"/>
                <w:lang w:eastAsia="es-ES"/>
              </w:rPr>
            </w:pPr>
            <w:r>
              <w:rPr>
                <w:rFonts w:ascii="Cambria" w:eastAsia="Times New Roman" w:hAnsi="Cambria" w:cs="Calibri"/>
                <w:color w:val="000000"/>
                <w:sz w:val="18"/>
                <w:szCs w:val="18"/>
                <w:lang w:eastAsia="es-ES"/>
              </w:rPr>
              <w:t>3</w:t>
            </w:r>
          </w:p>
        </w:tc>
        <w:tc>
          <w:tcPr>
            <w:tcW w:w="1418" w:type="dxa"/>
            <w:tcBorders>
              <w:top w:val="nil"/>
              <w:left w:val="nil"/>
              <w:bottom w:val="single" w:sz="8" w:space="0" w:color="auto"/>
              <w:right w:val="single" w:sz="8" w:space="0" w:color="auto"/>
            </w:tcBorders>
            <w:shd w:val="clear" w:color="auto" w:fill="auto"/>
            <w:noWrap/>
            <w:vAlign w:val="center"/>
            <w:hideMark/>
          </w:tcPr>
          <w:p w:rsidR="002E2364" w:rsidRPr="002E2364" w:rsidRDefault="002E2364" w:rsidP="002E2364">
            <w:pPr>
              <w:spacing w:after="0" w:line="240" w:lineRule="auto"/>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MURCIA</w:t>
            </w:r>
          </w:p>
        </w:tc>
        <w:tc>
          <w:tcPr>
            <w:tcW w:w="1518" w:type="dxa"/>
            <w:tcBorders>
              <w:top w:val="nil"/>
              <w:left w:val="nil"/>
              <w:bottom w:val="single" w:sz="8" w:space="0" w:color="auto"/>
              <w:right w:val="single" w:sz="8" w:space="0" w:color="auto"/>
            </w:tcBorders>
            <w:shd w:val="clear" w:color="auto" w:fill="auto"/>
            <w:noWrap/>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144.716,34 €</w:t>
            </w:r>
          </w:p>
        </w:tc>
        <w:tc>
          <w:tcPr>
            <w:tcW w:w="1458" w:type="dxa"/>
            <w:tcBorders>
              <w:top w:val="nil"/>
              <w:left w:val="nil"/>
              <w:bottom w:val="single" w:sz="8" w:space="0" w:color="auto"/>
              <w:right w:val="single" w:sz="8" w:space="0" w:color="auto"/>
            </w:tcBorders>
            <w:shd w:val="clear" w:color="auto" w:fill="auto"/>
            <w:noWrap/>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144.716,34 €</w:t>
            </w:r>
          </w:p>
        </w:tc>
        <w:tc>
          <w:tcPr>
            <w:tcW w:w="1418" w:type="dxa"/>
            <w:tcBorders>
              <w:top w:val="nil"/>
              <w:left w:val="nil"/>
              <w:bottom w:val="single" w:sz="8" w:space="0" w:color="auto"/>
              <w:right w:val="single" w:sz="8" w:space="0" w:color="auto"/>
            </w:tcBorders>
            <w:shd w:val="clear" w:color="auto" w:fill="auto"/>
            <w:noWrap/>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289.432,68 €</w:t>
            </w:r>
          </w:p>
        </w:tc>
        <w:tc>
          <w:tcPr>
            <w:tcW w:w="1465" w:type="dxa"/>
            <w:tcBorders>
              <w:top w:val="nil"/>
              <w:left w:val="nil"/>
              <w:bottom w:val="single" w:sz="8" w:space="0" w:color="auto"/>
              <w:right w:val="single" w:sz="8" w:space="0" w:color="auto"/>
            </w:tcBorders>
            <w:shd w:val="clear" w:color="auto" w:fill="auto"/>
            <w:noWrap/>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14.471,63 €</w:t>
            </w:r>
          </w:p>
        </w:tc>
        <w:tc>
          <w:tcPr>
            <w:tcW w:w="1512" w:type="dxa"/>
            <w:tcBorders>
              <w:top w:val="nil"/>
              <w:left w:val="nil"/>
              <w:bottom w:val="single" w:sz="8" w:space="0" w:color="auto"/>
              <w:right w:val="single" w:sz="8" w:space="0" w:color="auto"/>
            </w:tcBorders>
            <w:shd w:val="clear" w:color="auto" w:fill="auto"/>
            <w:noWrap/>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303.904,31 €</w:t>
            </w:r>
          </w:p>
        </w:tc>
      </w:tr>
      <w:tr w:rsidR="002E2364" w:rsidRPr="002E2364" w:rsidTr="002E2364">
        <w:trPr>
          <w:trHeight w:val="300"/>
        </w:trPr>
        <w:tc>
          <w:tcPr>
            <w:tcW w:w="2117" w:type="dxa"/>
            <w:gridSpan w:val="2"/>
            <w:tcBorders>
              <w:top w:val="single" w:sz="8" w:space="0" w:color="auto"/>
              <w:left w:val="single" w:sz="8" w:space="0" w:color="auto"/>
              <w:bottom w:val="single" w:sz="8" w:space="0" w:color="auto"/>
              <w:right w:val="single" w:sz="8" w:space="0" w:color="000000"/>
            </w:tcBorders>
            <w:shd w:val="clear" w:color="000000" w:fill="F2F2F2"/>
            <w:noWrap/>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TOTALES</w:t>
            </w:r>
          </w:p>
        </w:tc>
        <w:tc>
          <w:tcPr>
            <w:tcW w:w="1518" w:type="dxa"/>
            <w:tcBorders>
              <w:top w:val="nil"/>
              <w:left w:val="nil"/>
              <w:bottom w:val="single" w:sz="8" w:space="0" w:color="auto"/>
              <w:right w:val="single" w:sz="8" w:space="0" w:color="auto"/>
            </w:tcBorders>
            <w:shd w:val="clear" w:color="000000" w:fill="F2F2F2"/>
            <w:noWrap/>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926.142,44 €</w:t>
            </w:r>
          </w:p>
        </w:tc>
        <w:tc>
          <w:tcPr>
            <w:tcW w:w="1458" w:type="dxa"/>
            <w:tcBorders>
              <w:top w:val="nil"/>
              <w:left w:val="nil"/>
              <w:bottom w:val="single" w:sz="8" w:space="0" w:color="auto"/>
              <w:right w:val="single" w:sz="8" w:space="0" w:color="auto"/>
            </w:tcBorders>
            <w:shd w:val="clear" w:color="000000" w:fill="F2F2F2"/>
            <w:noWrap/>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926.142,44 €</w:t>
            </w:r>
          </w:p>
        </w:tc>
        <w:tc>
          <w:tcPr>
            <w:tcW w:w="1418" w:type="dxa"/>
            <w:tcBorders>
              <w:top w:val="nil"/>
              <w:left w:val="nil"/>
              <w:bottom w:val="single" w:sz="8" w:space="0" w:color="auto"/>
              <w:right w:val="single" w:sz="8" w:space="0" w:color="auto"/>
            </w:tcBorders>
            <w:shd w:val="clear" w:color="000000" w:fill="F2F2F2"/>
            <w:noWrap/>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1.852.284,88 €</w:t>
            </w:r>
          </w:p>
        </w:tc>
        <w:tc>
          <w:tcPr>
            <w:tcW w:w="1465" w:type="dxa"/>
            <w:tcBorders>
              <w:top w:val="nil"/>
              <w:left w:val="nil"/>
              <w:bottom w:val="single" w:sz="8" w:space="0" w:color="auto"/>
              <w:right w:val="single" w:sz="8" w:space="0" w:color="auto"/>
            </w:tcBorders>
            <w:shd w:val="clear" w:color="000000" w:fill="F2F2F2"/>
            <w:noWrap/>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92.614,24 €</w:t>
            </w:r>
          </w:p>
        </w:tc>
        <w:tc>
          <w:tcPr>
            <w:tcW w:w="1512" w:type="dxa"/>
            <w:tcBorders>
              <w:top w:val="nil"/>
              <w:left w:val="nil"/>
              <w:bottom w:val="single" w:sz="8" w:space="0" w:color="auto"/>
              <w:right w:val="single" w:sz="8" w:space="0" w:color="auto"/>
            </w:tcBorders>
            <w:shd w:val="clear" w:color="000000" w:fill="F2F2F2"/>
            <w:noWrap/>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1.944.899,12 €</w:t>
            </w:r>
          </w:p>
        </w:tc>
      </w:tr>
    </w:tbl>
    <w:p w:rsidR="00B257BB" w:rsidRDefault="00B257BB" w:rsidP="002E2364">
      <w:pPr>
        <w:spacing w:after="50" w:line="259" w:lineRule="auto"/>
      </w:pPr>
    </w:p>
    <w:p w:rsidR="008E28EF" w:rsidRDefault="008E28EF" w:rsidP="002E2364">
      <w:pPr>
        <w:spacing w:after="50" w:line="259" w:lineRule="auto"/>
      </w:pPr>
    </w:p>
    <w:p w:rsidR="00B257BB" w:rsidRDefault="00B257BB" w:rsidP="00B257BB">
      <w:pPr>
        <w:numPr>
          <w:ilvl w:val="0"/>
          <w:numId w:val="3"/>
        </w:numPr>
        <w:spacing w:after="2" w:line="267" w:lineRule="auto"/>
        <w:ind w:right="1" w:hanging="161"/>
        <w:jc w:val="both"/>
      </w:pPr>
      <w:r>
        <w:t xml:space="preserve">El lote 1 incluye Andalucía, Ceuta y Melilla </w:t>
      </w:r>
    </w:p>
    <w:p w:rsidR="00B257BB" w:rsidRDefault="00B257BB" w:rsidP="00B257BB">
      <w:pPr>
        <w:spacing w:after="9" w:line="259" w:lineRule="auto"/>
        <w:ind w:left="14"/>
      </w:pPr>
      <w:r>
        <w:t xml:space="preserve"> </w:t>
      </w:r>
    </w:p>
    <w:p w:rsidR="00B257BB" w:rsidRDefault="00B257BB" w:rsidP="00B257BB">
      <w:pPr>
        <w:spacing w:after="2"/>
        <w:ind w:right="1"/>
      </w:pPr>
      <w:r>
        <w:t xml:space="preserve">El desglose anual por lotes del gasto por servicios programados y especiales es el siguiente: </w:t>
      </w:r>
    </w:p>
    <w:p w:rsidR="002E2364" w:rsidRDefault="002E2364" w:rsidP="002E2364">
      <w:pPr>
        <w:spacing w:after="9" w:line="259" w:lineRule="auto"/>
      </w:pPr>
    </w:p>
    <w:p w:rsidR="008E28EF" w:rsidRDefault="008E28EF" w:rsidP="002E2364">
      <w:pPr>
        <w:spacing w:after="9" w:line="259" w:lineRule="auto"/>
      </w:pPr>
    </w:p>
    <w:tbl>
      <w:tblPr>
        <w:tblW w:w="9488" w:type="dxa"/>
        <w:tblCellMar>
          <w:left w:w="70" w:type="dxa"/>
          <w:right w:w="70" w:type="dxa"/>
        </w:tblCellMar>
        <w:tblLook w:val="04A0" w:firstRow="1" w:lastRow="0" w:firstColumn="1" w:lastColumn="0" w:noHBand="0" w:noVBand="1"/>
      </w:tblPr>
      <w:tblGrid>
        <w:gridCol w:w="699"/>
        <w:gridCol w:w="2835"/>
        <w:gridCol w:w="1843"/>
        <w:gridCol w:w="1984"/>
        <w:gridCol w:w="2127"/>
      </w:tblGrid>
      <w:tr w:rsidR="002E2364" w:rsidRPr="002E2364" w:rsidTr="002E2364">
        <w:trPr>
          <w:trHeight w:val="300"/>
        </w:trPr>
        <w:tc>
          <w:tcPr>
            <w:tcW w:w="699" w:type="dxa"/>
            <w:vMerge w:val="restart"/>
            <w:tcBorders>
              <w:top w:val="single" w:sz="8" w:space="0" w:color="000000"/>
              <w:left w:val="single" w:sz="8" w:space="0" w:color="000000"/>
              <w:bottom w:val="single" w:sz="8" w:space="0" w:color="000000"/>
              <w:right w:val="single" w:sz="8" w:space="0" w:color="000000"/>
            </w:tcBorders>
            <w:shd w:val="clear" w:color="000000" w:fill="D9D9D9"/>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LOTE</w:t>
            </w:r>
          </w:p>
        </w:tc>
        <w:tc>
          <w:tcPr>
            <w:tcW w:w="2835" w:type="dxa"/>
            <w:vMerge w:val="restart"/>
            <w:tcBorders>
              <w:top w:val="single" w:sz="8" w:space="0" w:color="000000"/>
              <w:left w:val="single" w:sz="8" w:space="0" w:color="000000"/>
              <w:bottom w:val="single" w:sz="8" w:space="0" w:color="000000"/>
              <w:right w:val="single" w:sz="8" w:space="0" w:color="000000"/>
            </w:tcBorders>
            <w:shd w:val="clear" w:color="000000" w:fill="D9D9D9"/>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COMUNIDAD AUTÓNOMA</w:t>
            </w:r>
          </w:p>
        </w:tc>
        <w:tc>
          <w:tcPr>
            <w:tcW w:w="5954" w:type="dxa"/>
            <w:gridSpan w:val="3"/>
            <w:tcBorders>
              <w:top w:val="single" w:sz="8" w:space="0" w:color="000000"/>
              <w:left w:val="nil"/>
              <w:bottom w:val="nil"/>
              <w:right w:val="single" w:sz="8" w:space="0" w:color="000000"/>
            </w:tcBorders>
            <w:shd w:val="clear" w:color="000000" w:fill="D9D9D9"/>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ESTIMACIÓN ANUAL</w:t>
            </w:r>
          </w:p>
        </w:tc>
      </w:tr>
      <w:tr w:rsidR="002E2364" w:rsidRPr="002E2364" w:rsidTr="002E2364">
        <w:trPr>
          <w:trHeight w:val="509"/>
        </w:trPr>
        <w:tc>
          <w:tcPr>
            <w:tcW w:w="699" w:type="dxa"/>
            <w:vMerge/>
            <w:tcBorders>
              <w:top w:val="single" w:sz="8" w:space="0" w:color="000000"/>
              <w:left w:val="single" w:sz="8" w:space="0" w:color="000000"/>
              <w:bottom w:val="single" w:sz="8" w:space="0" w:color="000000"/>
              <w:right w:val="single" w:sz="8" w:space="0" w:color="000000"/>
            </w:tcBorders>
            <w:vAlign w:val="center"/>
            <w:hideMark/>
          </w:tcPr>
          <w:p w:rsidR="002E2364" w:rsidRPr="002E2364" w:rsidRDefault="002E2364" w:rsidP="002E2364">
            <w:pPr>
              <w:spacing w:after="0" w:line="240" w:lineRule="auto"/>
              <w:rPr>
                <w:rFonts w:ascii="Cambria" w:eastAsia="Times New Roman" w:hAnsi="Cambria" w:cs="Calibri"/>
                <w:b/>
                <w:bCs/>
                <w:color w:val="000000"/>
                <w:sz w:val="18"/>
                <w:szCs w:val="18"/>
                <w:lang w:eastAsia="es-ES"/>
              </w:rPr>
            </w:pPr>
          </w:p>
        </w:tc>
        <w:tc>
          <w:tcPr>
            <w:tcW w:w="2835" w:type="dxa"/>
            <w:vMerge/>
            <w:tcBorders>
              <w:top w:val="single" w:sz="8" w:space="0" w:color="000000"/>
              <w:left w:val="single" w:sz="8" w:space="0" w:color="000000"/>
              <w:bottom w:val="single" w:sz="8" w:space="0" w:color="000000"/>
              <w:right w:val="single" w:sz="8" w:space="0" w:color="000000"/>
            </w:tcBorders>
            <w:vAlign w:val="center"/>
            <w:hideMark/>
          </w:tcPr>
          <w:p w:rsidR="002E2364" w:rsidRPr="002E2364" w:rsidRDefault="002E2364" w:rsidP="002E2364">
            <w:pPr>
              <w:spacing w:after="0" w:line="240" w:lineRule="auto"/>
              <w:rPr>
                <w:rFonts w:ascii="Cambria" w:eastAsia="Times New Roman" w:hAnsi="Cambria" w:cs="Calibri"/>
                <w:b/>
                <w:bCs/>
                <w:color w:val="000000"/>
                <w:sz w:val="18"/>
                <w:szCs w:val="18"/>
                <w:lang w:eastAsia="es-ES"/>
              </w:rPr>
            </w:pPr>
          </w:p>
        </w:tc>
        <w:tc>
          <w:tcPr>
            <w:tcW w:w="5954" w:type="dxa"/>
            <w:gridSpan w:val="3"/>
            <w:vMerge w:val="restart"/>
            <w:tcBorders>
              <w:top w:val="nil"/>
              <w:left w:val="single" w:sz="8" w:space="0" w:color="000000"/>
              <w:bottom w:val="single" w:sz="8" w:space="0" w:color="000000"/>
              <w:right w:val="single" w:sz="8" w:space="0" w:color="000000"/>
            </w:tcBorders>
            <w:shd w:val="clear" w:color="000000" w:fill="D9D9D9"/>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1 AÑO</w:t>
            </w:r>
          </w:p>
        </w:tc>
      </w:tr>
      <w:tr w:rsidR="002E2364" w:rsidRPr="002E2364" w:rsidTr="002E67FB">
        <w:trPr>
          <w:trHeight w:val="509"/>
        </w:trPr>
        <w:tc>
          <w:tcPr>
            <w:tcW w:w="699" w:type="dxa"/>
            <w:vMerge/>
            <w:tcBorders>
              <w:top w:val="single" w:sz="8" w:space="0" w:color="000000"/>
              <w:left w:val="single" w:sz="8" w:space="0" w:color="000000"/>
              <w:bottom w:val="single" w:sz="8" w:space="0" w:color="000000"/>
              <w:right w:val="single" w:sz="8" w:space="0" w:color="000000"/>
            </w:tcBorders>
            <w:vAlign w:val="center"/>
            <w:hideMark/>
          </w:tcPr>
          <w:p w:rsidR="002E2364" w:rsidRPr="002E2364" w:rsidRDefault="002E2364" w:rsidP="002E2364">
            <w:pPr>
              <w:spacing w:after="0" w:line="240" w:lineRule="auto"/>
              <w:rPr>
                <w:rFonts w:ascii="Cambria" w:eastAsia="Times New Roman" w:hAnsi="Cambria" w:cs="Calibri"/>
                <w:b/>
                <w:bCs/>
                <w:color w:val="000000"/>
                <w:sz w:val="18"/>
                <w:szCs w:val="18"/>
                <w:lang w:eastAsia="es-ES"/>
              </w:rPr>
            </w:pPr>
          </w:p>
        </w:tc>
        <w:tc>
          <w:tcPr>
            <w:tcW w:w="2835" w:type="dxa"/>
            <w:vMerge/>
            <w:tcBorders>
              <w:top w:val="single" w:sz="8" w:space="0" w:color="000000"/>
              <w:left w:val="single" w:sz="8" w:space="0" w:color="000000"/>
              <w:bottom w:val="single" w:sz="8" w:space="0" w:color="000000"/>
              <w:right w:val="single" w:sz="8" w:space="0" w:color="000000"/>
            </w:tcBorders>
            <w:vAlign w:val="center"/>
            <w:hideMark/>
          </w:tcPr>
          <w:p w:rsidR="002E2364" w:rsidRPr="002E2364" w:rsidRDefault="002E2364" w:rsidP="002E2364">
            <w:pPr>
              <w:spacing w:after="0" w:line="240" w:lineRule="auto"/>
              <w:rPr>
                <w:rFonts w:ascii="Cambria" w:eastAsia="Times New Roman" w:hAnsi="Cambria" w:cs="Calibri"/>
                <w:b/>
                <w:bCs/>
                <w:color w:val="000000"/>
                <w:sz w:val="18"/>
                <w:szCs w:val="18"/>
                <w:lang w:eastAsia="es-ES"/>
              </w:rPr>
            </w:pPr>
          </w:p>
        </w:tc>
        <w:tc>
          <w:tcPr>
            <w:tcW w:w="5954" w:type="dxa"/>
            <w:gridSpan w:val="3"/>
            <w:vMerge/>
            <w:tcBorders>
              <w:top w:val="nil"/>
              <w:left w:val="single" w:sz="8" w:space="0" w:color="000000"/>
              <w:bottom w:val="single" w:sz="8" w:space="0" w:color="000000"/>
              <w:right w:val="single" w:sz="8" w:space="0" w:color="000000"/>
            </w:tcBorders>
            <w:vAlign w:val="center"/>
            <w:hideMark/>
          </w:tcPr>
          <w:p w:rsidR="002E2364" w:rsidRPr="002E2364" w:rsidRDefault="002E2364" w:rsidP="002E2364">
            <w:pPr>
              <w:spacing w:after="0" w:line="240" w:lineRule="auto"/>
              <w:rPr>
                <w:rFonts w:ascii="Cambria" w:eastAsia="Times New Roman" w:hAnsi="Cambria" w:cs="Calibri"/>
                <w:b/>
                <w:bCs/>
                <w:color w:val="000000"/>
                <w:sz w:val="18"/>
                <w:szCs w:val="18"/>
                <w:lang w:eastAsia="es-ES"/>
              </w:rPr>
            </w:pPr>
          </w:p>
        </w:tc>
      </w:tr>
      <w:tr w:rsidR="002E2364" w:rsidRPr="002E2364" w:rsidTr="002E2364">
        <w:trPr>
          <w:trHeight w:val="443"/>
        </w:trPr>
        <w:tc>
          <w:tcPr>
            <w:tcW w:w="699" w:type="dxa"/>
            <w:vMerge/>
            <w:tcBorders>
              <w:top w:val="single" w:sz="8" w:space="0" w:color="000000"/>
              <w:left w:val="single" w:sz="8" w:space="0" w:color="000000"/>
              <w:bottom w:val="single" w:sz="8" w:space="0" w:color="000000"/>
              <w:right w:val="single" w:sz="8" w:space="0" w:color="000000"/>
            </w:tcBorders>
            <w:vAlign w:val="center"/>
            <w:hideMark/>
          </w:tcPr>
          <w:p w:rsidR="002E2364" w:rsidRPr="002E2364" w:rsidRDefault="002E2364" w:rsidP="002E2364">
            <w:pPr>
              <w:spacing w:after="0" w:line="240" w:lineRule="auto"/>
              <w:rPr>
                <w:rFonts w:ascii="Cambria" w:eastAsia="Times New Roman" w:hAnsi="Cambria" w:cs="Calibri"/>
                <w:b/>
                <w:bCs/>
                <w:color w:val="000000"/>
                <w:sz w:val="18"/>
                <w:szCs w:val="18"/>
                <w:lang w:eastAsia="es-ES"/>
              </w:rPr>
            </w:pPr>
          </w:p>
        </w:tc>
        <w:tc>
          <w:tcPr>
            <w:tcW w:w="2835" w:type="dxa"/>
            <w:vMerge/>
            <w:tcBorders>
              <w:top w:val="single" w:sz="8" w:space="0" w:color="000000"/>
              <w:left w:val="single" w:sz="8" w:space="0" w:color="000000"/>
              <w:bottom w:val="single" w:sz="8" w:space="0" w:color="000000"/>
              <w:right w:val="single" w:sz="8" w:space="0" w:color="000000"/>
            </w:tcBorders>
            <w:vAlign w:val="center"/>
            <w:hideMark/>
          </w:tcPr>
          <w:p w:rsidR="002E2364" w:rsidRPr="002E2364" w:rsidRDefault="002E2364" w:rsidP="002E2364">
            <w:pPr>
              <w:spacing w:after="0" w:line="240" w:lineRule="auto"/>
              <w:rPr>
                <w:rFonts w:ascii="Cambria" w:eastAsia="Times New Roman" w:hAnsi="Cambria" w:cs="Calibri"/>
                <w:b/>
                <w:bCs/>
                <w:color w:val="000000"/>
                <w:sz w:val="18"/>
                <w:szCs w:val="18"/>
                <w:lang w:eastAsia="es-ES"/>
              </w:rPr>
            </w:pPr>
          </w:p>
        </w:tc>
        <w:tc>
          <w:tcPr>
            <w:tcW w:w="1843" w:type="dxa"/>
            <w:tcBorders>
              <w:top w:val="nil"/>
              <w:left w:val="nil"/>
              <w:bottom w:val="single" w:sz="8" w:space="0" w:color="000000"/>
              <w:right w:val="single" w:sz="8" w:space="0" w:color="000000"/>
            </w:tcBorders>
            <w:shd w:val="clear" w:color="000000" w:fill="F1F1F1"/>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Programadas</w:t>
            </w:r>
          </w:p>
        </w:tc>
        <w:tc>
          <w:tcPr>
            <w:tcW w:w="1984" w:type="dxa"/>
            <w:tcBorders>
              <w:top w:val="nil"/>
              <w:left w:val="nil"/>
              <w:bottom w:val="single" w:sz="8" w:space="0" w:color="000000"/>
              <w:right w:val="single" w:sz="8" w:space="0" w:color="000000"/>
            </w:tcBorders>
            <w:shd w:val="clear" w:color="000000" w:fill="F1F1F1"/>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Especiales</w:t>
            </w:r>
          </w:p>
        </w:tc>
        <w:tc>
          <w:tcPr>
            <w:tcW w:w="2127" w:type="dxa"/>
            <w:tcBorders>
              <w:top w:val="nil"/>
              <w:left w:val="nil"/>
              <w:bottom w:val="single" w:sz="8" w:space="0" w:color="000000"/>
              <w:right w:val="single" w:sz="8" w:space="0" w:color="000000"/>
            </w:tcBorders>
            <w:shd w:val="clear" w:color="000000" w:fill="F1F1F1"/>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Total</w:t>
            </w:r>
          </w:p>
        </w:tc>
      </w:tr>
      <w:tr w:rsidR="002E2364" w:rsidRPr="002E2364" w:rsidTr="002E2364">
        <w:trPr>
          <w:trHeight w:val="280"/>
        </w:trPr>
        <w:tc>
          <w:tcPr>
            <w:tcW w:w="699" w:type="dxa"/>
            <w:tcBorders>
              <w:top w:val="nil"/>
              <w:left w:val="single" w:sz="8" w:space="0" w:color="000000"/>
              <w:bottom w:val="single" w:sz="8" w:space="0" w:color="000000"/>
              <w:right w:val="single" w:sz="8" w:space="0" w:color="000000"/>
            </w:tcBorders>
            <w:shd w:val="clear" w:color="auto" w:fill="auto"/>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1</w:t>
            </w:r>
          </w:p>
        </w:tc>
        <w:tc>
          <w:tcPr>
            <w:tcW w:w="2835" w:type="dxa"/>
            <w:tcBorders>
              <w:top w:val="nil"/>
              <w:left w:val="nil"/>
              <w:bottom w:val="single" w:sz="8" w:space="0" w:color="000000"/>
              <w:right w:val="single" w:sz="8" w:space="0" w:color="000000"/>
            </w:tcBorders>
            <w:shd w:val="clear" w:color="auto" w:fill="auto"/>
            <w:vAlign w:val="center"/>
            <w:hideMark/>
          </w:tcPr>
          <w:p w:rsidR="002E2364" w:rsidRPr="002E2364" w:rsidRDefault="002E2364" w:rsidP="002E2364">
            <w:pPr>
              <w:spacing w:after="0" w:line="240" w:lineRule="auto"/>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ANDALUCIA (*)</w:t>
            </w:r>
          </w:p>
        </w:tc>
        <w:tc>
          <w:tcPr>
            <w:tcW w:w="1843" w:type="dxa"/>
            <w:tcBorders>
              <w:top w:val="nil"/>
              <w:left w:val="nil"/>
              <w:bottom w:val="single" w:sz="8" w:space="0" w:color="000000"/>
              <w:right w:val="single" w:sz="8" w:space="0" w:color="000000"/>
            </w:tcBorders>
            <w:shd w:val="clear" w:color="auto" w:fill="auto"/>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184.325,78</w:t>
            </w:r>
          </w:p>
        </w:tc>
        <w:tc>
          <w:tcPr>
            <w:tcW w:w="1984" w:type="dxa"/>
            <w:tcBorders>
              <w:top w:val="nil"/>
              <w:left w:val="nil"/>
              <w:bottom w:val="single" w:sz="8" w:space="0" w:color="000000"/>
              <w:right w:val="single" w:sz="8" w:space="0" w:color="000000"/>
            </w:tcBorders>
            <w:shd w:val="clear" w:color="auto" w:fill="auto"/>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6.050,00</w:t>
            </w:r>
          </w:p>
        </w:tc>
        <w:tc>
          <w:tcPr>
            <w:tcW w:w="2127" w:type="dxa"/>
            <w:tcBorders>
              <w:top w:val="nil"/>
              <w:left w:val="nil"/>
              <w:bottom w:val="single" w:sz="8" w:space="0" w:color="000000"/>
              <w:right w:val="single" w:sz="8" w:space="0" w:color="000000"/>
            </w:tcBorders>
            <w:shd w:val="clear" w:color="auto" w:fill="auto"/>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190.375,78</w:t>
            </w:r>
          </w:p>
        </w:tc>
      </w:tr>
      <w:tr w:rsidR="002E2364" w:rsidRPr="002E2364" w:rsidTr="002E2364">
        <w:trPr>
          <w:trHeight w:val="300"/>
        </w:trPr>
        <w:tc>
          <w:tcPr>
            <w:tcW w:w="699" w:type="dxa"/>
            <w:tcBorders>
              <w:top w:val="nil"/>
              <w:left w:val="single" w:sz="8" w:space="0" w:color="000000"/>
              <w:bottom w:val="single" w:sz="8" w:space="0" w:color="000000"/>
              <w:right w:val="single" w:sz="8" w:space="0" w:color="000000"/>
            </w:tcBorders>
            <w:shd w:val="clear" w:color="auto" w:fill="auto"/>
            <w:vAlign w:val="center"/>
            <w:hideMark/>
          </w:tcPr>
          <w:p w:rsidR="002E2364" w:rsidRPr="002E2364" w:rsidRDefault="00303EB4" w:rsidP="002E2364">
            <w:pPr>
              <w:spacing w:after="0" w:line="240" w:lineRule="auto"/>
              <w:jc w:val="center"/>
              <w:rPr>
                <w:rFonts w:ascii="Cambria" w:eastAsia="Times New Roman" w:hAnsi="Cambria" w:cs="Calibri"/>
                <w:color w:val="000000"/>
                <w:sz w:val="18"/>
                <w:szCs w:val="18"/>
                <w:lang w:eastAsia="es-ES"/>
              </w:rPr>
            </w:pPr>
            <w:r>
              <w:rPr>
                <w:rFonts w:ascii="Cambria" w:eastAsia="Times New Roman" w:hAnsi="Cambria" w:cs="Calibri"/>
                <w:color w:val="000000"/>
                <w:sz w:val="18"/>
                <w:szCs w:val="18"/>
                <w:lang w:eastAsia="es-ES"/>
              </w:rPr>
              <w:t>2</w:t>
            </w:r>
          </w:p>
        </w:tc>
        <w:tc>
          <w:tcPr>
            <w:tcW w:w="2835" w:type="dxa"/>
            <w:tcBorders>
              <w:top w:val="nil"/>
              <w:left w:val="nil"/>
              <w:bottom w:val="single" w:sz="8" w:space="0" w:color="000000"/>
              <w:right w:val="single" w:sz="8" w:space="0" w:color="000000"/>
            </w:tcBorders>
            <w:shd w:val="clear" w:color="auto" w:fill="auto"/>
            <w:vAlign w:val="center"/>
            <w:hideMark/>
          </w:tcPr>
          <w:p w:rsidR="002E2364" w:rsidRPr="002E2364" w:rsidRDefault="002E2364" w:rsidP="002E2364">
            <w:pPr>
              <w:spacing w:after="0" w:line="240" w:lineRule="auto"/>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CANARIAS</w:t>
            </w:r>
          </w:p>
        </w:tc>
        <w:tc>
          <w:tcPr>
            <w:tcW w:w="1843" w:type="dxa"/>
            <w:tcBorders>
              <w:top w:val="nil"/>
              <w:left w:val="nil"/>
              <w:bottom w:val="single" w:sz="8" w:space="0" w:color="000000"/>
              <w:right w:val="single" w:sz="8" w:space="0" w:color="000000"/>
            </w:tcBorders>
            <w:shd w:val="clear" w:color="auto" w:fill="auto"/>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196.377,47</w:t>
            </w:r>
          </w:p>
        </w:tc>
        <w:tc>
          <w:tcPr>
            <w:tcW w:w="1984" w:type="dxa"/>
            <w:tcBorders>
              <w:top w:val="nil"/>
              <w:left w:val="nil"/>
              <w:bottom w:val="single" w:sz="8" w:space="0" w:color="000000"/>
              <w:right w:val="single" w:sz="8" w:space="0" w:color="000000"/>
            </w:tcBorders>
            <w:shd w:val="clear" w:color="auto" w:fill="auto"/>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3.959,80</w:t>
            </w:r>
          </w:p>
        </w:tc>
        <w:tc>
          <w:tcPr>
            <w:tcW w:w="2127" w:type="dxa"/>
            <w:tcBorders>
              <w:top w:val="nil"/>
              <w:left w:val="nil"/>
              <w:bottom w:val="single" w:sz="8" w:space="0" w:color="000000"/>
              <w:right w:val="single" w:sz="8" w:space="0" w:color="000000"/>
            </w:tcBorders>
            <w:shd w:val="clear" w:color="auto" w:fill="auto"/>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200.337,27</w:t>
            </w:r>
          </w:p>
        </w:tc>
      </w:tr>
      <w:tr w:rsidR="002E2364" w:rsidRPr="002E2364" w:rsidTr="002E2364">
        <w:trPr>
          <w:trHeight w:val="300"/>
        </w:trPr>
        <w:tc>
          <w:tcPr>
            <w:tcW w:w="699" w:type="dxa"/>
            <w:tcBorders>
              <w:top w:val="nil"/>
              <w:left w:val="single" w:sz="8" w:space="0" w:color="000000"/>
              <w:bottom w:val="single" w:sz="8" w:space="0" w:color="000000"/>
              <w:right w:val="single" w:sz="8" w:space="0" w:color="000000"/>
            </w:tcBorders>
            <w:shd w:val="clear" w:color="auto" w:fill="auto"/>
            <w:vAlign w:val="center"/>
            <w:hideMark/>
          </w:tcPr>
          <w:p w:rsidR="002E2364" w:rsidRPr="002E2364" w:rsidRDefault="00303EB4" w:rsidP="002E2364">
            <w:pPr>
              <w:spacing w:after="0" w:line="240" w:lineRule="auto"/>
              <w:jc w:val="center"/>
              <w:rPr>
                <w:rFonts w:ascii="Cambria" w:eastAsia="Times New Roman" w:hAnsi="Cambria" w:cs="Calibri"/>
                <w:color w:val="000000"/>
                <w:sz w:val="18"/>
                <w:szCs w:val="18"/>
                <w:lang w:eastAsia="es-ES"/>
              </w:rPr>
            </w:pPr>
            <w:r>
              <w:rPr>
                <w:rFonts w:ascii="Cambria" w:eastAsia="Times New Roman" w:hAnsi="Cambria" w:cs="Calibri"/>
                <w:color w:val="000000"/>
                <w:sz w:val="18"/>
                <w:szCs w:val="18"/>
                <w:lang w:eastAsia="es-ES"/>
              </w:rPr>
              <w:t>3</w:t>
            </w:r>
          </w:p>
        </w:tc>
        <w:tc>
          <w:tcPr>
            <w:tcW w:w="2835" w:type="dxa"/>
            <w:tcBorders>
              <w:top w:val="nil"/>
              <w:left w:val="nil"/>
              <w:bottom w:val="single" w:sz="8" w:space="0" w:color="000000"/>
              <w:right w:val="single" w:sz="8" w:space="0" w:color="000000"/>
            </w:tcBorders>
            <w:shd w:val="clear" w:color="auto" w:fill="auto"/>
            <w:vAlign w:val="center"/>
            <w:hideMark/>
          </w:tcPr>
          <w:p w:rsidR="002E2364" w:rsidRPr="002E2364" w:rsidRDefault="002E2364" w:rsidP="002E2364">
            <w:pPr>
              <w:spacing w:after="0" w:line="240" w:lineRule="auto"/>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MURCIA</w:t>
            </w:r>
          </w:p>
        </w:tc>
        <w:tc>
          <w:tcPr>
            <w:tcW w:w="1843" w:type="dxa"/>
            <w:tcBorders>
              <w:top w:val="nil"/>
              <w:left w:val="nil"/>
              <w:bottom w:val="single" w:sz="8" w:space="0" w:color="000000"/>
              <w:right w:val="single" w:sz="8" w:space="0" w:color="000000"/>
            </w:tcBorders>
            <w:shd w:val="clear" w:color="auto" w:fill="auto"/>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70.501,37</w:t>
            </w:r>
          </w:p>
        </w:tc>
        <w:tc>
          <w:tcPr>
            <w:tcW w:w="1984" w:type="dxa"/>
            <w:tcBorders>
              <w:top w:val="nil"/>
              <w:left w:val="nil"/>
              <w:bottom w:val="single" w:sz="8" w:space="0" w:color="000000"/>
              <w:right w:val="single" w:sz="8" w:space="0" w:color="000000"/>
            </w:tcBorders>
            <w:shd w:val="clear" w:color="auto" w:fill="auto"/>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1.856,80</w:t>
            </w:r>
          </w:p>
        </w:tc>
        <w:tc>
          <w:tcPr>
            <w:tcW w:w="2127" w:type="dxa"/>
            <w:tcBorders>
              <w:top w:val="nil"/>
              <w:left w:val="nil"/>
              <w:bottom w:val="single" w:sz="8" w:space="0" w:color="000000"/>
              <w:right w:val="single" w:sz="8" w:space="0" w:color="000000"/>
            </w:tcBorders>
            <w:shd w:val="clear" w:color="auto" w:fill="auto"/>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72.358,17</w:t>
            </w:r>
          </w:p>
        </w:tc>
      </w:tr>
      <w:tr w:rsidR="002E2364" w:rsidRPr="002E2364" w:rsidTr="002E2364">
        <w:trPr>
          <w:trHeight w:val="300"/>
        </w:trPr>
        <w:tc>
          <w:tcPr>
            <w:tcW w:w="3534" w:type="dxa"/>
            <w:gridSpan w:val="2"/>
            <w:tcBorders>
              <w:top w:val="single" w:sz="8" w:space="0" w:color="000000"/>
              <w:left w:val="single" w:sz="8" w:space="0" w:color="000000"/>
              <w:bottom w:val="single" w:sz="8" w:space="0" w:color="000000"/>
              <w:right w:val="single" w:sz="8" w:space="0" w:color="000000"/>
            </w:tcBorders>
            <w:shd w:val="clear" w:color="000000" w:fill="F1F1F1"/>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TOTALES</w:t>
            </w:r>
          </w:p>
        </w:tc>
        <w:tc>
          <w:tcPr>
            <w:tcW w:w="1843" w:type="dxa"/>
            <w:tcBorders>
              <w:top w:val="nil"/>
              <w:left w:val="nil"/>
              <w:bottom w:val="single" w:sz="8" w:space="0" w:color="000000"/>
              <w:right w:val="single" w:sz="8" w:space="0" w:color="000000"/>
            </w:tcBorders>
            <w:shd w:val="clear" w:color="auto" w:fill="auto"/>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451.204,62</w:t>
            </w:r>
          </w:p>
        </w:tc>
        <w:tc>
          <w:tcPr>
            <w:tcW w:w="1984" w:type="dxa"/>
            <w:tcBorders>
              <w:top w:val="nil"/>
              <w:left w:val="nil"/>
              <w:bottom w:val="single" w:sz="8" w:space="0" w:color="000000"/>
              <w:right w:val="single" w:sz="8" w:space="0" w:color="000000"/>
            </w:tcBorders>
            <w:shd w:val="clear" w:color="auto" w:fill="auto"/>
            <w:vAlign w:val="center"/>
            <w:hideMark/>
          </w:tcPr>
          <w:p w:rsidR="002E2364" w:rsidRPr="002E2364" w:rsidRDefault="002E2364" w:rsidP="002E2364">
            <w:pPr>
              <w:spacing w:after="0" w:line="240" w:lineRule="auto"/>
              <w:jc w:val="center"/>
              <w:rPr>
                <w:rFonts w:ascii="Cambria" w:eastAsia="Times New Roman" w:hAnsi="Cambria" w:cs="Calibri"/>
                <w:color w:val="000000"/>
                <w:sz w:val="18"/>
                <w:szCs w:val="18"/>
                <w:lang w:eastAsia="es-ES"/>
              </w:rPr>
            </w:pPr>
            <w:r w:rsidRPr="002E2364">
              <w:rPr>
                <w:rFonts w:ascii="Cambria" w:eastAsia="Times New Roman" w:hAnsi="Cambria" w:cs="Calibri"/>
                <w:color w:val="000000"/>
                <w:sz w:val="18"/>
                <w:szCs w:val="18"/>
                <w:lang w:eastAsia="es-ES"/>
              </w:rPr>
              <w:t>11.866,60</w:t>
            </w:r>
          </w:p>
        </w:tc>
        <w:tc>
          <w:tcPr>
            <w:tcW w:w="2127" w:type="dxa"/>
            <w:tcBorders>
              <w:top w:val="nil"/>
              <w:left w:val="nil"/>
              <w:bottom w:val="single" w:sz="8" w:space="0" w:color="000000"/>
              <w:right w:val="single" w:sz="8" w:space="0" w:color="000000"/>
            </w:tcBorders>
            <w:shd w:val="clear" w:color="000000" w:fill="F1F1F1"/>
            <w:vAlign w:val="center"/>
            <w:hideMark/>
          </w:tcPr>
          <w:p w:rsidR="002E2364" w:rsidRPr="002E2364" w:rsidRDefault="002E2364" w:rsidP="002E2364">
            <w:pPr>
              <w:spacing w:after="0" w:line="240" w:lineRule="auto"/>
              <w:jc w:val="center"/>
              <w:rPr>
                <w:rFonts w:ascii="Cambria" w:eastAsia="Times New Roman" w:hAnsi="Cambria" w:cs="Calibri"/>
                <w:b/>
                <w:bCs/>
                <w:color w:val="000000"/>
                <w:sz w:val="18"/>
                <w:szCs w:val="18"/>
                <w:lang w:eastAsia="es-ES"/>
              </w:rPr>
            </w:pPr>
            <w:r w:rsidRPr="002E2364">
              <w:rPr>
                <w:rFonts w:ascii="Cambria" w:eastAsia="Times New Roman" w:hAnsi="Cambria" w:cs="Calibri"/>
                <w:b/>
                <w:bCs/>
                <w:color w:val="000000"/>
                <w:sz w:val="18"/>
                <w:szCs w:val="18"/>
                <w:lang w:eastAsia="es-ES"/>
              </w:rPr>
              <w:t>463.071,22</w:t>
            </w:r>
          </w:p>
        </w:tc>
      </w:tr>
    </w:tbl>
    <w:p w:rsidR="00B257BB" w:rsidRDefault="00B257BB" w:rsidP="002E2364">
      <w:pPr>
        <w:spacing w:after="2"/>
        <w:ind w:right="1"/>
      </w:pPr>
    </w:p>
    <w:p w:rsidR="00B257BB" w:rsidRDefault="00B257BB" w:rsidP="00B257BB">
      <w:pPr>
        <w:numPr>
          <w:ilvl w:val="0"/>
          <w:numId w:val="3"/>
        </w:numPr>
        <w:spacing w:after="2" w:line="267" w:lineRule="auto"/>
        <w:ind w:right="1" w:hanging="161"/>
        <w:jc w:val="both"/>
      </w:pPr>
      <w:r>
        <w:t xml:space="preserve">El lote 1 incluye Andalucía, Ceuta y Melilla </w:t>
      </w:r>
    </w:p>
    <w:p w:rsidR="00B257BB" w:rsidRDefault="00B257BB" w:rsidP="00B257BB">
      <w:pPr>
        <w:spacing w:after="9" w:line="259" w:lineRule="auto"/>
        <w:ind w:left="14"/>
      </w:pPr>
      <w:r>
        <w:t xml:space="preserve"> </w:t>
      </w:r>
    </w:p>
    <w:p w:rsidR="00B257BB" w:rsidRDefault="00B257BB" w:rsidP="00B257BB">
      <w:pPr>
        <w:spacing w:after="0"/>
        <w:ind w:left="370" w:right="1"/>
      </w:pPr>
    </w:p>
    <w:p w:rsidR="00B257BB" w:rsidRDefault="00B257BB" w:rsidP="00B257BB">
      <w:pPr>
        <w:spacing w:after="0"/>
        <w:ind w:left="370" w:right="1"/>
      </w:pPr>
      <w:r>
        <w:t xml:space="preserve">El presupuesto anual propuesto aumenta un 30,87 % sobre la licitación desierta debido a que la partida principal del presupuesto lo constituye el coste de personal. Las sedes de RTVE en las comunidades autónomas de Andalucía, Murcia y Canarias son pequeñas y muy dispersas geográficamente, teniendo en la mayoría de los casos un único limpiador, cuya cobertura de absentismos y licencias  supone un coste elevado:  </w:t>
      </w:r>
    </w:p>
    <w:p w:rsidR="00B257BB" w:rsidRDefault="00B257BB" w:rsidP="00B257BB">
      <w:pPr>
        <w:pStyle w:val="Prrafodelista"/>
        <w:numPr>
          <w:ilvl w:val="0"/>
          <w:numId w:val="5"/>
        </w:numPr>
        <w:spacing w:after="0" w:line="240" w:lineRule="auto"/>
        <w:rPr>
          <w:rFonts w:cstheme="minorHAnsi"/>
        </w:rPr>
      </w:pPr>
      <w:r w:rsidRPr="004E77BA">
        <w:rPr>
          <w:rFonts w:cstheme="minorHAnsi"/>
          <w:b/>
          <w:bCs/>
        </w:rPr>
        <w:t>Costes directos</w:t>
      </w:r>
      <w:r w:rsidRPr="004E77BA">
        <w:rPr>
          <w:rFonts w:cstheme="minorHAnsi"/>
        </w:rPr>
        <w:t xml:space="preserve"> : </w:t>
      </w:r>
    </w:p>
    <w:p w:rsidR="00B257BB" w:rsidRPr="004E77BA" w:rsidRDefault="00B257BB" w:rsidP="00B257BB">
      <w:pPr>
        <w:pStyle w:val="Prrafodelista"/>
        <w:ind w:left="1080"/>
        <w:jc w:val="both"/>
        <w:rPr>
          <w:rFonts w:cstheme="minorHAnsi"/>
        </w:rPr>
      </w:pPr>
      <w:r w:rsidRPr="004E77BA">
        <w:rPr>
          <w:rFonts w:cstheme="minorHAnsi"/>
          <w:bCs/>
        </w:rPr>
        <w:t>En el caso de las bajas por incapacidad permanente</w:t>
      </w:r>
    </w:p>
    <w:p w:rsidR="00B257BB" w:rsidRDefault="00B257BB" w:rsidP="00B257BB">
      <w:pPr>
        <w:pStyle w:val="Prrafodelista"/>
        <w:numPr>
          <w:ilvl w:val="1"/>
          <w:numId w:val="5"/>
        </w:numPr>
        <w:spacing w:after="0" w:line="240" w:lineRule="auto"/>
        <w:jc w:val="both"/>
        <w:rPr>
          <w:rFonts w:cstheme="minorHAnsi"/>
        </w:rPr>
      </w:pPr>
      <w:r>
        <w:rPr>
          <w:rFonts w:cstheme="minorHAnsi"/>
        </w:rPr>
        <w:t>P</w:t>
      </w:r>
      <w:r w:rsidRPr="004E77BA">
        <w:rPr>
          <w:rFonts w:cstheme="minorHAnsi"/>
        </w:rPr>
        <w:t>ago de la prestación del 4º al 15º día del proceso de incapacidad temporal (baja laboral) por contingencia común (enfermedad común y accidente no laboral)</w:t>
      </w:r>
    </w:p>
    <w:p w:rsidR="00B257BB" w:rsidRPr="004E77BA" w:rsidRDefault="00B257BB" w:rsidP="00B257BB">
      <w:pPr>
        <w:pStyle w:val="Prrafodelista"/>
        <w:numPr>
          <w:ilvl w:val="1"/>
          <w:numId w:val="5"/>
        </w:numPr>
        <w:spacing w:after="0" w:line="240" w:lineRule="auto"/>
        <w:jc w:val="both"/>
        <w:rPr>
          <w:rFonts w:cstheme="minorHAnsi"/>
        </w:rPr>
      </w:pPr>
      <w:r>
        <w:rPr>
          <w:rFonts w:cstheme="minorHAnsi"/>
        </w:rPr>
        <w:t>P</w:t>
      </w:r>
      <w:r w:rsidRPr="004E77BA">
        <w:rPr>
          <w:rFonts w:cstheme="minorHAnsi"/>
        </w:rPr>
        <w:t xml:space="preserve">restaciones complementarias de incapacidad temporal contemplados en muchos convenios colectivos 100% en los convenios de limpieza. </w:t>
      </w:r>
    </w:p>
    <w:p w:rsidR="00B257BB" w:rsidRDefault="00B257BB" w:rsidP="00B257BB">
      <w:pPr>
        <w:pStyle w:val="Prrafodelista"/>
        <w:numPr>
          <w:ilvl w:val="1"/>
          <w:numId w:val="5"/>
        </w:numPr>
        <w:spacing w:after="0" w:line="240" w:lineRule="auto"/>
        <w:jc w:val="both"/>
        <w:rPr>
          <w:rFonts w:cstheme="minorHAnsi"/>
        </w:rPr>
      </w:pPr>
      <w:r>
        <w:rPr>
          <w:rFonts w:cstheme="minorHAnsi"/>
        </w:rPr>
        <w:lastRenderedPageBreak/>
        <w:t>P</w:t>
      </w:r>
      <w:r w:rsidRPr="004E77BA">
        <w:rPr>
          <w:rFonts w:cstheme="minorHAnsi"/>
        </w:rPr>
        <w:t>ago de las cotizaciones a la Seguridad Social durante el periodo de baja, tanto en contingencias comunes como en contingencias profesionales,</w:t>
      </w:r>
    </w:p>
    <w:p w:rsidR="00B257BB" w:rsidRDefault="00B257BB" w:rsidP="00B257BB">
      <w:pPr>
        <w:pStyle w:val="Prrafodelista"/>
        <w:numPr>
          <w:ilvl w:val="1"/>
          <w:numId w:val="5"/>
        </w:numPr>
        <w:spacing w:after="0" w:line="240" w:lineRule="auto"/>
        <w:jc w:val="both"/>
        <w:rPr>
          <w:rFonts w:cstheme="minorHAnsi"/>
        </w:rPr>
      </w:pPr>
      <w:r>
        <w:rPr>
          <w:rFonts w:cstheme="minorHAnsi"/>
        </w:rPr>
        <w:t>C</w:t>
      </w:r>
      <w:r w:rsidRPr="004E77BA">
        <w:rPr>
          <w:rFonts w:cstheme="minorHAnsi"/>
        </w:rPr>
        <w:t>ostes de sustitución del empleado por contratación de nuevo personal</w:t>
      </w:r>
      <w:r>
        <w:rPr>
          <w:rFonts w:cstheme="minorHAnsi"/>
        </w:rPr>
        <w:t>.</w:t>
      </w:r>
    </w:p>
    <w:p w:rsidR="00B257BB" w:rsidRDefault="00B257BB" w:rsidP="00B257BB">
      <w:pPr>
        <w:ind w:left="1090"/>
        <w:rPr>
          <w:rFonts w:cstheme="minorHAnsi"/>
        </w:rPr>
      </w:pPr>
      <w:r>
        <w:rPr>
          <w:rFonts w:cstheme="minorHAnsi"/>
        </w:rPr>
        <w:t>En el caso de las licencias</w:t>
      </w:r>
    </w:p>
    <w:p w:rsidR="00B257BB" w:rsidRPr="00013D03" w:rsidRDefault="00B257BB" w:rsidP="00B257BB">
      <w:pPr>
        <w:pStyle w:val="Prrafodelista"/>
        <w:numPr>
          <w:ilvl w:val="0"/>
          <w:numId w:val="6"/>
        </w:numPr>
        <w:spacing w:after="0" w:line="240" w:lineRule="auto"/>
        <w:rPr>
          <w:rFonts w:cstheme="minorHAnsi"/>
        </w:rPr>
      </w:pPr>
      <w:r w:rsidRPr="00013D03">
        <w:rPr>
          <w:rFonts w:cstheme="minorHAnsi"/>
        </w:rPr>
        <w:t>Coste de la sustitución del empleado por contratación de nuevo personal</w:t>
      </w:r>
    </w:p>
    <w:p w:rsidR="00B257BB" w:rsidRPr="00013D03" w:rsidRDefault="00B257BB" w:rsidP="00B257BB">
      <w:pPr>
        <w:pStyle w:val="Prrafodelista"/>
        <w:numPr>
          <w:ilvl w:val="0"/>
          <w:numId w:val="6"/>
        </w:numPr>
        <w:spacing w:after="0" w:line="240" w:lineRule="auto"/>
        <w:rPr>
          <w:rFonts w:cstheme="minorHAnsi"/>
        </w:rPr>
      </w:pPr>
      <w:r w:rsidRPr="00013D03">
        <w:rPr>
          <w:rFonts w:cstheme="minorHAnsi"/>
        </w:rPr>
        <w:t>Coste empresarial de la persona que está disfrutando su licencia</w:t>
      </w:r>
    </w:p>
    <w:p w:rsidR="00B257BB" w:rsidRPr="004E77BA" w:rsidRDefault="00B257BB" w:rsidP="00B257BB">
      <w:pPr>
        <w:pStyle w:val="Prrafodelista"/>
        <w:numPr>
          <w:ilvl w:val="0"/>
          <w:numId w:val="5"/>
        </w:numPr>
        <w:spacing w:after="0" w:line="240" w:lineRule="auto"/>
        <w:rPr>
          <w:rFonts w:cstheme="minorHAnsi"/>
        </w:rPr>
      </w:pPr>
      <w:r w:rsidRPr="004E77BA">
        <w:rPr>
          <w:rFonts w:cstheme="minorHAnsi"/>
          <w:b/>
          <w:bCs/>
        </w:rPr>
        <w:t>Costes indirectos:</w:t>
      </w:r>
      <w:r w:rsidRPr="004E77BA">
        <w:rPr>
          <w:rFonts w:cstheme="minorHAnsi"/>
        </w:rPr>
        <w:t xml:space="preserve"> </w:t>
      </w:r>
      <w:r>
        <w:rPr>
          <w:rFonts w:cstheme="minorHAnsi"/>
        </w:rPr>
        <w:t>búsqueda, contratación, formación y equipamiento de la persona sustituta.</w:t>
      </w:r>
    </w:p>
    <w:p w:rsidR="00B257BB" w:rsidRDefault="00B257BB" w:rsidP="00B257BB">
      <w:pPr>
        <w:ind w:right="1"/>
      </w:pPr>
    </w:p>
    <w:p w:rsidR="00B257BB" w:rsidRDefault="00B257BB" w:rsidP="00B257BB">
      <w:pPr>
        <w:ind w:left="360" w:right="1"/>
      </w:pPr>
      <w:r>
        <w:t>En este sentido se ha revisado el coste anual de las limpiezas programadas por estancia con los rendimientos de limpieza por estancia y aumentando el coste por hora de limpieza teniendo en cuenta lo anteriormente mencionado.</w:t>
      </w:r>
    </w:p>
    <w:p w:rsidR="00B257BB" w:rsidRDefault="00B257BB" w:rsidP="00B257BB">
      <w:pPr>
        <w:pStyle w:val="Ttulo1"/>
        <w:spacing w:after="60"/>
        <w:ind w:left="-720" w:firstLine="0"/>
      </w:pPr>
      <w:r>
        <w:rPr>
          <w:rFonts w:ascii="Arial" w:eastAsia="Arial" w:hAnsi="Arial" w:cs="Arial"/>
          <w:sz w:val="24"/>
        </w:rPr>
        <w:t xml:space="preserve"> </w:t>
      </w:r>
    </w:p>
    <w:p w:rsidR="00304E83" w:rsidRPr="00EE46F8" w:rsidRDefault="00304E83" w:rsidP="00EE46F8"/>
    <w:sectPr w:rsidR="00304E83" w:rsidRPr="00EE46F8" w:rsidSect="00CE30E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688C" w:rsidRDefault="0006688C" w:rsidP="0082109F">
      <w:pPr>
        <w:spacing w:after="0" w:line="240" w:lineRule="auto"/>
      </w:pPr>
      <w:r>
        <w:separator/>
      </w:r>
    </w:p>
  </w:endnote>
  <w:endnote w:type="continuationSeparator" w:id="0">
    <w:p w:rsidR="0006688C" w:rsidRDefault="0006688C" w:rsidP="00821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688C" w:rsidRDefault="0006688C" w:rsidP="0082109F">
      <w:pPr>
        <w:spacing w:after="0" w:line="240" w:lineRule="auto"/>
      </w:pPr>
      <w:r>
        <w:separator/>
      </w:r>
    </w:p>
  </w:footnote>
  <w:footnote w:type="continuationSeparator" w:id="0">
    <w:p w:rsidR="0006688C" w:rsidRDefault="0006688C" w:rsidP="008210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6A36" w:rsidRPr="0082109F" w:rsidRDefault="00A06A36" w:rsidP="0082109F">
    <w:pPr>
      <w:widowControl w:val="0"/>
      <w:tabs>
        <w:tab w:val="left" w:pos="1540"/>
        <w:tab w:val="center" w:pos="4252"/>
        <w:tab w:val="right" w:pos="8504"/>
      </w:tabs>
      <w:autoSpaceDE w:val="0"/>
      <w:autoSpaceDN w:val="0"/>
      <w:adjustRightInd w:val="0"/>
      <w:spacing w:before="120" w:after="120" w:line="240" w:lineRule="auto"/>
      <w:jc w:val="right"/>
      <w:rPr>
        <w:rFonts w:ascii="Verdana" w:eastAsia="Times New Roman" w:hAnsi="Verdana" w:cs="Arial"/>
        <w:sz w:val="16"/>
        <w:szCs w:val="16"/>
        <w:lang w:eastAsia="es-ES"/>
      </w:rPr>
    </w:pPr>
    <w:r w:rsidRPr="0082109F">
      <w:rPr>
        <w:rFonts w:eastAsia="Times New Roman" w:cs="Times New Roman"/>
        <w:noProof/>
        <w:szCs w:val="24"/>
        <w:lang w:eastAsia="es-ES"/>
      </w:rPr>
      <w:drawing>
        <wp:anchor distT="0" distB="0" distL="114300" distR="114300" simplePos="0" relativeHeight="251660288" behindDoc="1" locked="0" layoutInCell="1" allowOverlap="1">
          <wp:simplePos x="0" y="0"/>
          <wp:positionH relativeFrom="column">
            <wp:posOffset>14605</wp:posOffset>
          </wp:positionH>
          <wp:positionV relativeFrom="paragraph">
            <wp:posOffset>-184091</wp:posOffset>
          </wp:positionV>
          <wp:extent cx="891540" cy="548640"/>
          <wp:effectExtent l="0" t="0" r="3810" b="3810"/>
          <wp:wrapTopAndBottom/>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15512" t="20000" r="15050" b="18823"/>
                  <a:stretch>
                    <a:fillRect/>
                  </a:stretch>
                </pic:blipFill>
                <pic:spPr bwMode="auto">
                  <a:xfrm>
                    <a:off x="0" y="0"/>
                    <a:ext cx="891540" cy="548640"/>
                  </a:xfrm>
                  <a:prstGeom prst="rect">
                    <a:avLst/>
                  </a:prstGeom>
                  <a:noFill/>
                  <a:ln>
                    <a:noFill/>
                  </a:ln>
                </pic:spPr>
              </pic:pic>
            </a:graphicData>
          </a:graphic>
        </wp:anchor>
      </w:drawing>
    </w:r>
    <w:r w:rsidRPr="0082109F">
      <w:rPr>
        <w:rFonts w:ascii="Verdana" w:eastAsia="Times New Roman" w:hAnsi="Verdana" w:cs="Arial"/>
        <w:sz w:val="16"/>
        <w:szCs w:val="16"/>
        <w:lang w:eastAsia="es-ES"/>
      </w:rPr>
      <w:tab/>
    </w:r>
    <w:r w:rsidRPr="0082109F">
      <w:rPr>
        <w:rFonts w:ascii="Verdana" w:eastAsia="Times New Roman" w:hAnsi="Verdana" w:cs="Arial"/>
        <w:color w:val="E36C0A" w:themeColor="accent6" w:themeShade="BF"/>
        <w:sz w:val="16"/>
        <w:szCs w:val="16"/>
        <w:lang w:eastAsia="es-ES"/>
      </w:rPr>
      <w:t>Corporación Radio Televisión Española, S.A., S.M.E.</w:t>
    </w:r>
  </w:p>
  <w:p w:rsidR="00A06A36" w:rsidRPr="0082109F" w:rsidRDefault="00A06A36" w:rsidP="0082109F">
    <w:pPr>
      <w:widowControl w:val="0"/>
      <w:tabs>
        <w:tab w:val="center" w:pos="4252"/>
        <w:tab w:val="right" w:pos="8504"/>
      </w:tabs>
      <w:autoSpaceDE w:val="0"/>
      <w:autoSpaceDN w:val="0"/>
      <w:adjustRightInd w:val="0"/>
      <w:spacing w:before="120" w:after="120" w:line="240" w:lineRule="auto"/>
      <w:jc w:val="both"/>
      <w:rPr>
        <w:rFonts w:eastAsia="Times New Roman" w:cs="Times New Roman"/>
        <w:szCs w:val="24"/>
        <w:lang w:eastAsia="es-ES"/>
      </w:rPr>
    </w:pPr>
    <w:r>
      <w:rPr>
        <w:rFonts w:ascii="Verdana" w:eastAsia="Times New Roman" w:hAnsi="Verdana" w:cs="Arial"/>
        <w:noProof/>
        <w:sz w:val="16"/>
        <w:szCs w:val="16"/>
        <w:lang w:eastAsia="es-ES"/>
      </w:rPr>
      <mc:AlternateContent>
        <mc:Choice Requires="wps">
          <w:drawing>
            <wp:anchor distT="4294967291" distB="4294967291" distL="114300" distR="114300" simplePos="0" relativeHeight="251659264" behindDoc="0" locked="0" layoutInCell="1" allowOverlap="1">
              <wp:simplePos x="0" y="0"/>
              <wp:positionH relativeFrom="column">
                <wp:posOffset>16510</wp:posOffset>
              </wp:positionH>
              <wp:positionV relativeFrom="paragraph">
                <wp:posOffset>74929</wp:posOffset>
              </wp:positionV>
              <wp:extent cx="5785485" cy="0"/>
              <wp:effectExtent l="0" t="0" r="5715" b="0"/>
              <wp:wrapNone/>
              <wp:docPr id="5"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5485" cy="0"/>
                      </a:xfrm>
                      <a:prstGeom prst="straightConnector1">
                        <a:avLst/>
                      </a:prstGeom>
                      <a:noFill/>
                      <a:ln w="9525">
                        <a:solidFill>
                          <a:srgbClr val="F7964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753D501" id="_x0000_t32" coordsize="21600,21600" o:spt="32" o:oned="t" path="m,l21600,21600e" filled="f">
              <v:path arrowok="t" fillok="f" o:connecttype="none"/>
              <o:lock v:ext="edit" shapetype="t"/>
            </v:shapetype>
            <v:shape id="AutoShape 12" o:spid="_x0000_s1026" type="#_x0000_t32" style="position:absolute;margin-left:1.3pt;margin-top:5.9pt;width:455.55pt;height:0;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" strokecolor="#f79646"/>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245A54"/>
    <w:multiLevelType w:val="hybridMultilevel"/>
    <w:tmpl w:val="300A408C"/>
    <w:lvl w:ilvl="0" w:tplc="A8289CE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C5E3D8E">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64F45A">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465C44">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14EC2C">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9A4F178">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6FA56A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A2274E">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5D4478C">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27B329A"/>
    <w:multiLevelType w:val="hybridMultilevel"/>
    <w:tmpl w:val="07A8069A"/>
    <w:lvl w:ilvl="0" w:tplc="0C0A0003">
      <w:start w:val="1"/>
      <w:numFmt w:val="bullet"/>
      <w:lvlText w:val="o"/>
      <w:lvlJc w:val="left"/>
      <w:pPr>
        <w:ind w:left="1800" w:hanging="360"/>
      </w:pPr>
      <w:rPr>
        <w:rFonts w:ascii="Courier New" w:hAnsi="Courier New" w:cs="Courier New"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 w15:restartNumberingAfterBreak="0">
    <w:nsid w:val="574B1648"/>
    <w:multiLevelType w:val="hybridMultilevel"/>
    <w:tmpl w:val="E884A29E"/>
    <w:lvl w:ilvl="0" w:tplc="0EE6DBCE">
      <w:start w:val="1"/>
      <w:numFmt w:val="bullet"/>
      <w:lvlText w:val="*"/>
      <w:lvlJc w:val="left"/>
      <w:pPr>
        <w:ind w:left="1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AD810A4">
      <w:start w:val="1"/>
      <w:numFmt w:val="bullet"/>
      <w:lvlText w:val="-"/>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EC64FBC">
      <w:start w:val="1"/>
      <w:numFmt w:val="bullet"/>
      <w:lvlText w:val="▪"/>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270B6EE">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994AAA8">
      <w:start w:val="1"/>
      <w:numFmt w:val="bullet"/>
      <w:lvlText w:val="o"/>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1FAAF0A">
      <w:start w:val="1"/>
      <w:numFmt w:val="bullet"/>
      <w:lvlText w:val="▪"/>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F84393E">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CE2E9F0">
      <w:start w:val="1"/>
      <w:numFmt w:val="bullet"/>
      <w:lvlText w:val="o"/>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75ACA70">
      <w:start w:val="1"/>
      <w:numFmt w:val="bullet"/>
      <w:lvlText w:val="▪"/>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DBC4475"/>
    <w:multiLevelType w:val="hybridMultilevel"/>
    <w:tmpl w:val="F784306C"/>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14137B3"/>
    <w:multiLevelType w:val="hybridMultilevel"/>
    <w:tmpl w:val="F704F8BE"/>
    <w:lvl w:ilvl="0" w:tplc="4E62929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ABAE642">
      <w:start w:val="1"/>
      <w:numFmt w:val="bullet"/>
      <w:lvlText w:val="o"/>
      <w:lvlJc w:val="left"/>
      <w:pPr>
        <w:ind w:left="1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A3A9A1C">
      <w:start w:val="1"/>
      <w:numFmt w:val="bullet"/>
      <w:lvlText w:val="▪"/>
      <w:lvlJc w:val="left"/>
      <w:pPr>
        <w:ind w:left="2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B66C16">
      <w:start w:val="1"/>
      <w:numFmt w:val="bullet"/>
      <w:lvlText w:val="•"/>
      <w:lvlJc w:val="left"/>
      <w:pPr>
        <w:ind w:left="28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402686">
      <w:start w:val="1"/>
      <w:numFmt w:val="bullet"/>
      <w:lvlText w:val="o"/>
      <w:lvlJc w:val="left"/>
      <w:pPr>
        <w:ind w:left="35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12ECC9A">
      <w:start w:val="1"/>
      <w:numFmt w:val="bullet"/>
      <w:lvlText w:val="▪"/>
      <w:lvlJc w:val="left"/>
      <w:pPr>
        <w:ind w:left="43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AC62FDA">
      <w:start w:val="1"/>
      <w:numFmt w:val="bullet"/>
      <w:lvlText w:val="•"/>
      <w:lvlJc w:val="left"/>
      <w:pPr>
        <w:ind w:left="50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FAFACC">
      <w:start w:val="1"/>
      <w:numFmt w:val="bullet"/>
      <w:lvlText w:val="o"/>
      <w:lvlJc w:val="left"/>
      <w:pPr>
        <w:ind w:left="57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D346AB8">
      <w:start w:val="1"/>
      <w:numFmt w:val="bullet"/>
      <w:lvlText w:val="▪"/>
      <w:lvlJc w:val="left"/>
      <w:pPr>
        <w:ind w:left="64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ACE2FF6"/>
    <w:multiLevelType w:val="hybridMultilevel"/>
    <w:tmpl w:val="2CD8A0F6"/>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433"/>
    <w:rsid w:val="0005567B"/>
    <w:rsid w:val="0006688C"/>
    <w:rsid w:val="000B5DFF"/>
    <w:rsid w:val="000B6873"/>
    <w:rsid w:val="001026D5"/>
    <w:rsid w:val="00121903"/>
    <w:rsid w:val="0012379E"/>
    <w:rsid w:val="00145297"/>
    <w:rsid w:val="001D3207"/>
    <w:rsid w:val="001F7AAB"/>
    <w:rsid w:val="00251B0D"/>
    <w:rsid w:val="00261BD8"/>
    <w:rsid w:val="00263534"/>
    <w:rsid w:val="00274C5F"/>
    <w:rsid w:val="002E2364"/>
    <w:rsid w:val="002E67FB"/>
    <w:rsid w:val="00303EB4"/>
    <w:rsid w:val="00304E83"/>
    <w:rsid w:val="00336EFA"/>
    <w:rsid w:val="00341D45"/>
    <w:rsid w:val="0035447A"/>
    <w:rsid w:val="00396B5C"/>
    <w:rsid w:val="003A0CB7"/>
    <w:rsid w:val="003E1A17"/>
    <w:rsid w:val="004A0931"/>
    <w:rsid w:val="004D1E1B"/>
    <w:rsid w:val="0057740A"/>
    <w:rsid w:val="005835A3"/>
    <w:rsid w:val="005843E8"/>
    <w:rsid w:val="005C2ECD"/>
    <w:rsid w:val="00613081"/>
    <w:rsid w:val="006254E6"/>
    <w:rsid w:val="00676CF1"/>
    <w:rsid w:val="006A23C0"/>
    <w:rsid w:val="00760D67"/>
    <w:rsid w:val="007B6B95"/>
    <w:rsid w:val="007D62C0"/>
    <w:rsid w:val="007E53E8"/>
    <w:rsid w:val="0082109F"/>
    <w:rsid w:val="008403CE"/>
    <w:rsid w:val="008C0D95"/>
    <w:rsid w:val="008C7552"/>
    <w:rsid w:val="008E28EF"/>
    <w:rsid w:val="008F0433"/>
    <w:rsid w:val="00971F5E"/>
    <w:rsid w:val="009B69CE"/>
    <w:rsid w:val="00A06A36"/>
    <w:rsid w:val="00A714EA"/>
    <w:rsid w:val="00AC337E"/>
    <w:rsid w:val="00AF4AF4"/>
    <w:rsid w:val="00B257BB"/>
    <w:rsid w:val="00B458C0"/>
    <w:rsid w:val="00B6575B"/>
    <w:rsid w:val="00BF1475"/>
    <w:rsid w:val="00C6279E"/>
    <w:rsid w:val="00C73C44"/>
    <w:rsid w:val="00C76CB0"/>
    <w:rsid w:val="00CE30E0"/>
    <w:rsid w:val="00D0288E"/>
    <w:rsid w:val="00D7156D"/>
    <w:rsid w:val="00D91272"/>
    <w:rsid w:val="00DA2B1B"/>
    <w:rsid w:val="00DD2B39"/>
    <w:rsid w:val="00E049EB"/>
    <w:rsid w:val="00E119E4"/>
    <w:rsid w:val="00E8215A"/>
    <w:rsid w:val="00ED36D1"/>
    <w:rsid w:val="00EE46F8"/>
    <w:rsid w:val="00EF59D7"/>
    <w:rsid w:val="00F149D2"/>
    <w:rsid w:val="00F87FB8"/>
    <w:rsid w:val="00FF43D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9ADD50"/>
  <w15:docId w15:val="{BF98B0B8-0824-453D-8381-6B5748803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30E0"/>
  </w:style>
  <w:style w:type="paragraph" w:styleId="Ttulo1">
    <w:name w:val="heading 1"/>
    <w:next w:val="Normal"/>
    <w:link w:val="Ttulo1Car"/>
    <w:uiPriority w:val="9"/>
    <w:qFormat/>
    <w:rsid w:val="00B257BB"/>
    <w:pPr>
      <w:keepNext/>
      <w:keepLines/>
      <w:spacing w:after="42" w:line="259" w:lineRule="auto"/>
      <w:ind w:left="37" w:hanging="10"/>
      <w:outlineLvl w:val="0"/>
    </w:pPr>
    <w:rPr>
      <w:rFonts w:ascii="Calibri" w:eastAsia="Calibri" w:hAnsi="Calibri" w:cs="Calibri"/>
      <w:b/>
      <w:color w:val="00000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8F0433"/>
    <w:pPr>
      <w:spacing w:after="0" w:line="240" w:lineRule="auto"/>
    </w:pPr>
    <w:rPr>
      <w:rFonts w:ascii="Times New Roman" w:eastAsia="Times New Roman" w:hAnsi="Times New Roman" w:cs="Times New Roman"/>
      <w:sz w:val="24"/>
      <w:szCs w:val="24"/>
      <w:lang w:eastAsia="es-ES"/>
    </w:rPr>
  </w:style>
  <w:style w:type="paragraph" w:customStyle="1" w:styleId="default">
    <w:name w:val="default"/>
    <w:basedOn w:val="Normal"/>
    <w:rsid w:val="008F0433"/>
    <w:pPr>
      <w:spacing w:after="0" w:line="240" w:lineRule="auto"/>
    </w:pPr>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semiHidden/>
    <w:unhideWhenUsed/>
    <w:rsid w:val="008F0433"/>
    <w:pPr>
      <w:spacing w:after="0" w:line="240" w:lineRule="auto"/>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uiPriority w:val="99"/>
    <w:semiHidden/>
    <w:rsid w:val="008F0433"/>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8F0433"/>
    <w:rPr>
      <w:color w:val="0000FF"/>
      <w:u w:val="single"/>
    </w:rPr>
  </w:style>
  <w:style w:type="paragraph" w:styleId="Encabezado">
    <w:name w:val="header"/>
    <w:basedOn w:val="Normal"/>
    <w:link w:val="EncabezadoCar"/>
    <w:uiPriority w:val="99"/>
    <w:unhideWhenUsed/>
    <w:rsid w:val="0082109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2109F"/>
  </w:style>
  <w:style w:type="paragraph" w:styleId="Piedepgina">
    <w:name w:val="footer"/>
    <w:basedOn w:val="Normal"/>
    <w:link w:val="PiedepginaCar"/>
    <w:uiPriority w:val="99"/>
    <w:unhideWhenUsed/>
    <w:rsid w:val="0082109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2109F"/>
  </w:style>
  <w:style w:type="character" w:customStyle="1" w:styleId="ng-binding">
    <w:name w:val="ng-binding"/>
    <w:basedOn w:val="Fuentedeprrafopredeter"/>
    <w:rsid w:val="00274C5F"/>
  </w:style>
  <w:style w:type="paragraph" w:styleId="Prrafodelista">
    <w:name w:val="List Paragraph"/>
    <w:basedOn w:val="Normal"/>
    <w:uiPriority w:val="34"/>
    <w:qFormat/>
    <w:rsid w:val="007E53E8"/>
    <w:pPr>
      <w:ind w:left="720"/>
      <w:contextualSpacing/>
    </w:pPr>
  </w:style>
  <w:style w:type="paragraph" w:styleId="Textodeglobo">
    <w:name w:val="Balloon Text"/>
    <w:basedOn w:val="Normal"/>
    <w:link w:val="TextodegloboCar"/>
    <w:uiPriority w:val="99"/>
    <w:semiHidden/>
    <w:unhideWhenUsed/>
    <w:rsid w:val="00E049E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049EB"/>
    <w:rPr>
      <w:rFonts w:ascii="Tahoma" w:hAnsi="Tahoma" w:cs="Tahoma"/>
      <w:sz w:val="16"/>
      <w:szCs w:val="16"/>
    </w:rPr>
  </w:style>
  <w:style w:type="character" w:customStyle="1" w:styleId="Ttulo1Car">
    <w:name w:val="Título 1 Car"/>
    <w:basedOn w:val="Fuentedeprrafopredeter"/>
    <w:link w:val="Ttulo1"/>
    <w:uiPriority w:val="9"/>
    <w:rsid w:val="00B257BB"/>
    <w:rPr>
      <w:rFonts w:ascii="Calibri" w:eastAsia="Calibri" w:hAnsi="Calibri" w:cs="Calibri"/>
      <w:b/>
      <w:color w:val="00000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08742">
      <w:bodyDiv w:val="1"/>
      <w:marLeft w:val="0"/>
      <w:marRight w:val="0"/>
      <w:marTop w:val="0"/>
      <w:marBottom w:val="0"/>
      <w:divBdr>
        <w:top w:val="none" w:sz="0" w:space="0" w:color="auto"/>
        <w:left w:val="none" w:sz="0" w:space="0" w:color="auto"/>
        <w:bottom w:val="none" w:sz="0" w:space="0" w:color="auto"/>
        <w:right w:val="none" w:sz="0" w:space="0" w:color="auto"/>
      </w:divBdr>
      <w:divsChild>
        <w:div w:id="1418676496">
          <w:marLeft w:val="0"/>
          <w:marRight w:val="0"/>
          <w:marTop w:val="0"/>
          <w:marBottom w:val="0"/>
          <w:divBdr>
            <w:top w:val="none" w:sz="0" w:space="0" w:color="auto"/>
            <w:left w:val="none" w:sz="0" w:space="0" w:color="auto"/>
            <w:bottom w:val="none" w:sz="0" w:space="0" w:color="auto"/>
            <w:right w:val="none" w:sz="0" w:space="0" w:color="auto"/>
          </w:divBdr>
          <w:divsChild>
            <w:div w:id="1916285214">
              <w:marLeft w:val="0"/>
              <w:marRight w:val="0"/>
              <w:marTop w:val="0"/>
              <w:marBottom w:val="0"/>
              <w:divBdr>
                <w:top w:val="none" w:sz="0" w:space="0" w:color="auto"/>
                <w:left w:val="none" w:sz="0" w:space="0" w:color="auto"/>
                <w:bottom w:val="none" w:sz="0" w:space="0" w:color="auto"/>
                <w:right w:val="none" w:sz="0" w:space="0" w:color="auto"/>
              </w:divBdr>
              <w:divsChild>
                <w:div w:id="194911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643104">
      <w:bodyDiv w:val="1"/>
      <w:marLeft w:val="0"/>
      <w:marRight w:val="0"/>
      <w:marTop w:val="0"/>
      <w:marBottom w:val="0"/>
      <w:divBdr>
        <w:top w:val="none" w:sz="0" w:space="0" w:color="auto"/>
        <w:left w:val="none" w:sz="0" w:space="0" w:color="auto"/>
        <w:bottom w:val="none" w:sz="0" w:space="0" w:color="auto"/>
        <w:right w:val="none" w:sz="0" w:space="0" w:color="auto"/>
      </w:divBdr>
    </w:div>
    <w:div w:id="573705120">
      <w:bodyDiv w:val="1"/>
      <w:marLeft w:val="0"/>
      <w:marRight w:val="0"/>
      <w:marTop w:val="0"/>
      <w:marBottom w:val="0"/>
      <w:divBdr>
        <w:top w:val="none" w:sz="0" w:space="0" w:color="auto"/>
        <w:left w:val="none" w:sz="0" w:space="0" w:color="auto"/>
        <w:bottom w:val="none" w:sz="0" w:space="0" w:color="auto"/>
        <w:right w:val="none" w:sz="0" w:space="0" w:color="auto"/>
      </w:divBdr>
    </w:div>
    <w:div w:id="671296880">
      <w:bodyDiv w:val="1"/>
      <w:marLeft w:val="0"/>
      <w:marRight w:val="0"/>
      <w:marTop w:val="0"/>
      <w:marBottom w:val="0"/>
      <w:divBdr>
        <w:top w:val="none" w:sz="0" w:space="0" w:color="auto"/>
        <w:left w:val="none" w:sz="0" w:space="0" w:color="auto"/>
        <w:bottom w:val="none" w:sz="0" w:space="0" w:color="auto"/>
        <w:right w:val="none" w:sz="0" w:space="0" w:color="auto"/>
      </w:divBdr>
    </w:div>
    <w:div w:id="827749215">
      <w:bodyDiv w:val="1"/>
      <w:marLeft w:val="0"/>
      <w:marRight w:val="0"/>
      <w:marTop w:val="0"/>
      <w:marBottom w:val="0"/>
      <w:divBdr>
        <w:top w:val="none" w:sz="0" w:space="0" w:color="auto"/>
        <w:left w:val="none" w:sz="0" w:space="0" w:color="auto"/>
        <w:bottom w:val="none" w:sz="0" w:space="0" w:color="auto"/>
        <w:right w:val="none" w:sz="0" w:space="0" w:color="auto"/>
      </w:divBdr>
    </w:div>
    <w:div w:id="905796816">
      <w:bodyDiv w:val="1"/>
      <w:marLeft w:val="0"/>
      <w:marRight w:val="0"/>
      <w:marTop w:val="0"/>
      <w:marBottom w:val="0"/>
      <w:divBdr>
        <w:top w:val="none" w:sz="0" w:space="0" w:color="auto"/>
        <w:left w:val="none" w:sz="0" w:space="0" w:color="auto"/>
        <w:bottom w:val="none" w:sz="0" w:space="0" w:color="auto"/>
        <w:right w:val="none" w:sz="0" w:space="0" w:color="auto"/>
      </w:divBdr>
    </w:div>
    <w:div w:id="909122374">
      <w:bodyDiv w:val="1"/>
      <w:marLeft w:val="0"/>
      <w:marRight w:val="0"/>
      <w:marTop w:val="0"/>
      <w:marBottom w:val="0"/>
      <w:divBdr>
        <w:top w:val="none" w:sz="0" w:space="0" w:color="auto"/>
        <w:left w:val="none" w:sz="0" w:space="0" w:color="auto"/>
        <w:bottom w:val="none" w:sz="0" w:space="0" w:color="auto"/>
        <w:right w:val="none" w:sz="0" w:space="0" w:color="auto"/>
      </w:divBdr>
    </w:div>
    <w:div w:id="921990060">
      <w:bodyDiv w:val="1"/>
      <w:marLeft w:val="0"/>
      <w:marRight w:val="0"/>
      <w:marTop w:val="0"/>
      <w:marBottom w:val="0"/>
      <w:divBdr>
        <w:top w:val="none" w:sz="0" w:space="0" w:color="auto"/>
        <w:left w:val="none" w:sz="0" w:space="0" w:color="auto"/>
        <w:bottom w:val="none" w:sz="0" w:space="0" w:color="auto"/>
        <w:right w:val="none" w:sz="0" w:space="0" w:color="auto"/>
      </w:divBdr>
    </w:div>
    <w:div w:id="1150055669">
      <w:bodyDiv w:val="1"/>
      <w:marLeft w:val="0"/>
      <w:marRight w:val="0"/>
      <w:marTop w:val="0"/>
      <w:marBottom w:val="0"/>
      <w:divBdr>
        <w:top w:val="none" w:sz="0" w:space="0" w:color="auto"/>
        <w:left w:val="none" w:sz="0" w:space="0" w:color="auto"/>
        <w:bottom w:val="none" w:sz="0" w:space="0" w:color="auto"/>
        <w:right w:val="none" w:sz="0" w:space="0" w:color="auto"/>
      </w:divBdr>
    </w:div>
    <w:div w:id="1546915234">
      <w:bodyDiv w:val="1"/>
      <w:marLeft w:val="0"/>
      <w:marRight w:val="0"/>
      <w:marTop w:val="0"/>
      <w:marBottom w:val="0"/>
      <w:divBdr>
        <w:top w:val="none" w:sz="0" w:space="0" w:color="auto"/>
        <w:left w:val="none" w:sz="0" w:space="0" w:color="auto"/>
        <w:bottom w:val="none" w:sz="0" w:space="0" w:color="auto"/>
        <w:right w:val="none" w:sz="0" w:space="0" w:color="auto"/>
      </w:divBdr>
    </w:div>
    <w:div w:id="1584677163">
      <w:bodyDiv w:val="1"/>
      <w:marLeft w:val="0"/>
      <w:marRight w:val="0"/>
      <w:marTop w:val="0"/>
      <w:marBottom w:val="0"/>
      <w:divBdr>
        <w:top w:val="none" w:sz="0" w:space="0" w:color="auto"/>
        <w:left w:val="none" w:sz="0" w:space="0" w:color="auto"/>
        <w:bottom w:val="none" w:sz="0" w:space="0" w:color="auto"/>
        <w:right w:val="none" w:sz="0" w:space="0" w:color="auto"/>
      </w:divBdr>
    </w:div>
    <w:div w:id="1597589668">
      <w:bodyDiv w:val="1"/>
      <w:marLeft w:val="0"/>
      <w:marRight w:val="0"/>
      <w:marTop w:val="0"/>
      <w:marBottom w:val="0"/>
      <w:divBdr>
        <w:top w:val="none" w:sz="0" w:space="0" w:color="auto"/>
        <w:left w:val="none" w:sz="0" w:space="0" w:color="auto"/>
        <w:bottom w:val="none" w:sz="0" w:space="0" w:color="auto"/>
        <w:right w:val="none" w:sz="0" w:space="0" w:color="auto"/>
      </w:divBdr>
    </w:div>
    <w:div w:id="1744375424">
      <w:bodyDiv w:val="1"/>
      <w:marLeft w:val="0"/>
      <w:marRight w:val="0"/>
      <w:marTop w:val="0"/>
      <w:marBottom w:val="0"/>
      <w:divBdr>
        <w:top w:val="none" w:sz="0" w:space="0" w:color="auto"/>
        <w:left w:val="none" w:sz="0" w:space="0" w:color="auto"/>
        <w:bottom w:val="none" w:sz="0" w:space="0" w:color="auto"/>
        <w:right w:val="none" w:sz="0" w:space="0" w:color="auto"/>
      </w:divBdr>
    </w:div>
    <w:div w:id="1901935332">
      <w:bodyDiv w:val="1"/>
      <w:marLeft w:val="0"/>
      <w:marRight w:val="0"/>
      <w:marTop w:val="0"/>
      <w:marBottom w:val="0"/>
      <w:divBdr>
        <w:top w:val="none" w:sz="0" w:space="0" w:color="auto"/>
        <w:left w:val="none" w:sz="0" w:space="0" w:color="auto"/>
        <w:bottom w:val="none" w:sz="0" w:space="0" w:color="auto"/>
        <w:right w:val="none" w:sz="0" w:space="0" w:color="auto"/>
      </w:divBdr>
    </w:div>
    <w:div w:id="209258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868</Words>
  <Characters>4774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RTVE</Company>
  <LinksUpToDate>false</LinksUpToDate>
  <CharactersWithSpaces>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JPT</dc:creator>
  <cp:lastModifiedBy>JUAN PEDRO TORIBIO GOMEZ</cp:lastModifiedBy>
  <cp:revision>2</cp:revision>
  <dcterms:created xsi:type="dcterms:W3CDTF">2023-11-16T17:49:00Z</dcterms:created>
  <dcterms:modified xsi:type="dcterms:W3CDTF">2023-11-16T17:49:00Z</dcterms:modified>
</cp:coreProperties>
</file>